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D20B9" w14:textId="0A7A3E47" w:rsidR="000F3189" w:rsidRPr="00D40C8E" w:rsidRDefault="004E2E8F" w:rsidP="004E2E8F">
      <w:pPr>
        <w:jc w:val="center"/>
        <w:rPr>
          <w:rFonts w:cstheme="minorHAnsi"/>
          <w:b/>
          <w:bCs/>
        </w:rPr>
      </w:pPr>
      <w:r w:rsidRPr="00D40C8E">
        <w:rPr>
          <w:rFonts w:cstheme="minorHAnsi"/>
          <w:b/>
          <w:bCs/>
        </w:rPr>
        <w:t xml:space="preserve">ASCC Natural and Mathematical Sciences Panel </w:t>
      </w:r>
    </w:p>
    <w:p w14:paraId="0EB3E810" w14:textId="209AB765" w:rsidR="004E2E8F" w:rsidRPr="00D40C8E" w:rsidRDefault="00234A12" w:rsidP="004E2E8F">
      <w:pPr>
        <w:jc w:val="center"/>
        <w:rPr>
          <w:rFonts w:cstheme="minorHAnsi"/>
        </w:rPr>
      </w:pPr>
      <w:r>
        <w:rPr>
          <w:rFonts w:cstheme="minorHAnsi"/>
        </w:rPr>
        <w:t>A</w:t>
      </w:r>
      <w:r w:rsidR="006772CE">
        <w:rPr>
          <w:rFonts w:cstheme="minorHAnsi"/>
        </w:rPr>
        <w:t>pproved</w:t>
      </w:r>
      <w:r w:rsidR="00840996">
        <w:rPr>
          <w:rFonts w:cstheme="minorHAnsi"/>
        </w:rPr>
        <w:t xml:space="preserve"> Minutes</w:t>
      </w:r>
    </w:p>
    <w:p w14:paraId="66CC3BF8" w14:textId="15D85C23" w:rsidR="004E2E8F" w:rsidRPr="00D40C8E" w:rsidRDefault="00B4463A" w:rsidP="004E2E8F">
      <w:pPr>
        <w:rPr>
          <w:rFonts w:cstheme="minorHAnsi"/>
        </w:rPr>
      </w:pPr>
      <w:r w:rsidRPr="00D40C8E">
        <w:rPr>
          <w:rFonts w:cstheme="minorHAnsi"/>
        </w:rPr>
        <w:t xml:space="preserve">Wednesday, </w:t>
      </w:r>
      <w:r w:rsidR="000C120D">
        <w:rPr>
          <w:rFonts w:cstheme="minorHAnsi"/>
        </w:rPr>
        <w:t>May 10</w:t>
      </w:r>
      <w:r w:rsidR="000C120D" w:rsidRPr="000C120D">
        <w:rPr>
          <w:rFonts w:cstheme="minorHAnsi"/>
          <w:vertAlign w:val="superscript"/>
        </w:rPr>
        <w:t>th</w:t>
      </w:r>
      <w:r w:rsidRPr="00D40C8E">
        <w:rPr>
          <w:rFonts w:cstheme="minorHAnsi"/>
        </w:rPr>
        <w:t xml:space="preserve">, </w:t>
      </w:r>
      <w:proofErr w:type="gramStart"/>
      <w:r w:rsidRPr="00D40C8E">
        <w:rPr>
          <w:rFonts w:cstheme="minorHAnsi"/>
        </w:rPr>
        <w:t>2023</w:t>
      </w:r>
      <w:proofErr w:type="gramEnd"/>
      <w:r w:rsidR="004E2E8F" w:rsidRPr="00D40C8E">
        <w:rPr>
          <w:rFonts w:cstheme="minorHAnsi"/>
        </w:rPr>
        <w:tab/>
      </w:r>
      <w:r w:rsidR="004E2E8F" w:rsidRPr="00D40C8E">
        <w:rPr>
          <w:rFonts w:cstheme="minorHAnsi"/>
        </w:rPr>
        <w:tab/>
      </w:r>
      <w:r w:rsidR="004E2E8F" w:rsidRPr="00D40C8E">
        <w:rPr>
          <w:rFonts w:cstheme="minorHAnsi"/>
        </w:rPr>
        <w:tab/>
      </w:r>
      <w:r w:rsidR="004E2E8F" w:rsidRPr="00D40C8E">
        <w:rPr>
          <w:rFonts w:cstheme="minorHAnsi"/>
        </w:rPr>
        <w:tab/>
      </w:r>
      <w:r w:rsidR="004E2E8F" w:rsidRPr="00D40C8E">
        <w:rPr>
          <w:rFonts w:cstheme="minorHAnsi"/>
        </w:rPr>
        <w:tab/>
      </w:r>
      <w:r w:rsidR="000F7399" w:rsidRPr="00D40C8E">
        <w:rPr>
          <w:rFonts w:cstheme="minorHAnsi"/>
        </w:rPr>
        <w:tab/>
      </w:r>
      <w:r w:rsidR="004E2E8F" w:rsidRPr="00D40C8E">
        <w:rPr>
          <w:rFonts w:cstheme="minorHAnsi"/>
        </w:rPr>
        <w:tab/>
      </w:r>
      <w:r w:rsidR="00145577" w:rsidRPr="00D40C8E">
        <w:rPr>
          <w:rFonts w:cstheme="minorHAnsi"/>
        </w:rPr>
        <w:t>1</w:t>
      </w:r>
      <w:r w:rsidRPr="00D40C8E">
        <w:rPr>
          <w:rFonts w:cstheme="minorHAnsi"/>
        </w:rPr>
        <w:t>2</w:t>
      </w:r>
      <w:r w:rsidR="00145577" w:rsidRPr="00D40C8E">
        <w:rPr>
          <w:rFonts w:cstheme="minorHAnsi"/>
        </w:rPr>
        <w:t>:30-</w:t>
      </w:r>
      <w:r w:rsidRPr="00D40C8E">
        <w:rPr>
          <w:rFonts w:cstheme="minorHAnsi"/>
        </w:rPr>
        <w:t>2</w:t>
      </w:r>
      <w:r w:rsidR="00145577" w:rsidRPr="00D40C8E">
        <w:rPr>
          <w:rFonts w:cstheme="minorHAnsi"/>
        </w:rPr>
        <w:t>:00</w:t>
      </w:r>
      <w:r w:rsidR="00D40C8E">
        <w:rPr>
          <w:rFonts w:cstheme="minorHAnsi"/>
        </w:rPr>
        <w:t xml:space="preserve"> PM</w:t>
      </w:r>
    </w:p>
    <w:p w14:paraId="6455142A" w14:textId="462E4CE0" w:rsidR="004E2E8F" w:rsidRPr="00D40C8E" w:rsidRDefault="000D2AE3" w:rsidP="004E2E8F">
      <w:pPr>
        <w:rPr>
          <w:rFonts w:cstheme="minorHAnsi"/>
        </w:rPr>
      </w:pPr>
      <w:r>
        <w:rPr>
          <w:rFonts w:cstheme="minorHAnsi"/>
        </w:rPr>
        <w:t>Carmen Zoom</w:t>
      </w:r>
    </w:p>
    <w:p w14:paraId="02B2A465" w14:textId="7839FC0E" w:rsidR="004E2E8F" w:rsidRPr="00D40C8E" w:rsidRDefault="004E2E8F" w:rsidP="004E2E8F">
      <w:pPr>
        <w:rPr>
          <w:rFonts w:cstheme="minorHAnsi"/>
        </w:rPr>
      </w:pPr>
      <w:r w:rsidRPr="00D40C8E">
        <w:rPr>
          <w:rFonts w:cstheme="minorHAnsi"/>
          <w:b/>
          <w:bCs/>
        </w:rPr>
        <w:t>Attendees</w:t>
      </w:r>
      <w:r w:rsidRPr="00D40C8E">
        <w:rPr>
          <w:rFonts w:cstheme="minorHAnsi"/>
        </w:rPr>
        <w:t>:</w:t>
      </w:r>
      <w:r w:rsidR="0091471B">
        <w:rPr>
          <w:rFonts w:cstheme="minorHAnsi"/>
        </w:rPr>
        <w:t xml:space="preserve"> Cole, Dinan, Hamilton, Kaizar, Ottesen, </w:t>
      </w:r>
      <w:r w:rsidR="006D6B38">
        <w:rPr>
          <w:rFonts w:cstheme="minorHAnsi"/>
        </w:rPr>
        <w:t>Steele</w:t>
      </w:r>
    </w:p>
    <w:p w14:paraId="1A6129CD" w14:textId="22CECF2C" w:rsidR="000C120D" w:rsidRDefault="000C120D" w:rsidP="002317DE">
      <w:pPr>
        <w:pStyle w:val="ListParagraph"/>
        <w:numPr>
          <w:ilvl w:val="0"/>
          <w:numId w:val="25"/>
        </w:numPr>
        <w:rPr>
          <w:rFonts w:cstheme="minorHAnsi"/>
        </w:rPr>
      </w:pPr>
      <w:r w:rsidRPr="002317DE">
        <w:rPr>
          <w:rFonts w:cstheme="minorHAnsi"/>
        </w:rPr>
        <w:t>Approval of 04-26-2023 minutes</w:t>
      </w:r>
    </w:p>
    <w:p w14:paraId="72EE8FEA" w14:textId="3C40CB3E" w:rsidR="002317DE" w:rsidRPr="002317DE" w:rsidRDefault="00313898" w:rsidP="002317DE">
      <w:pPr>
        <w:pStyle w:val="ListParagraph"/>
        <w:numPr>
          <w:ilvl w:val="1"/>
          <w:numId w:val="25"/>
        </w:numPr>
        <w:rPr>
          <w:rFonts w:cstheme="minorHAnsi"/>
        </w:rPr>
      </w:pPr>
      <w:r>
        <w:rPr>
          <w:rFonts w:cstheme="minorHAnsi"/>
        </w:rPr>
        <w:t>Hamilton, Cole; unanimously approved.</w:t>
      </w:r>
    </w:p>
    <w:p w14:paraId="50608596" w14:textId="5238637E" w:rsidR="002317DE" w:rsidRDefault="000C120D" w:rsidP="002317DE">
      <w:pPr>
        <w:pStyle w:val="ListParagraph"/>
        <w:numPr>
          <w:ilvl w:val="0"/>
          <w:numId w:val="25"/>
        </w:numPr>
        <w:rPr>
          <w:rFonts w:cstheme="minorHAnsi"/>
        </w:rPr>
      </w:pPr>
      <w:r w:rsidRPr="002317DE">
        <w:rPr>
          <w:rFonts w:cstheme="minorHAnsi"/>
        </w:rPr>
        <w:t>Chemistry 1206 (new course)</w:t>
      </w:r>
    </w:p>
    <w:p w14:paraId="584DC9D7" w14:textId="14FED6CB" w:rsidR="00F070C5" w:rsidRDefault="00F070C5" w:rsidP="00F070C5">
      <w:pPr>
        <w:pStyle w:val="ListParagraph"/>
        <w:numPr>
          <w:ilvl w:val="1"/>
          <w:numId w:val="25"/>
        </w:numPr>
        <w:rPr>
          <w:rFonts w:cstheme="minorHAnsi"/>
        </w:rPr>
      </w:pPr>
      <w:r>
        <w:rPr>
          <w:rFonts w:cstheme="minorHAnsi"/>
        </w:rPr>
        <w:t xml:space="preserve">Note: The Panel discussed the possibility of asking for a concurrence from Educational Studies: Education Psychology because of the course’s focus on metacognition and </w:t>
      </w:r>
      <w:r w:rsidR="008D4490">
        <w:rPr>
          <w:rFonts w:cstheme="minorHAnsi"/>
        </w:rPr>
        <w:t>learning but</w:t>
      </w:r>
      <w:r>
        <w:rPr>
          <w:rFonts w:cstheme="minorHAnsi"/>
        </w:rPr>
        <w:t xml:space="preserve"> decided against it since the </w:t>
      </w:r>
      <w:r w:rsidR="008D4490">
        <w:rPr>
          <w:rFonts w:cstheme="minorHAnsi"/>
        </w:rPr>
        <w:t>course content</w:t>
      </w:r>
      <w:r>
        <w:rPr>
          <w:rFonts w:cstheme="minorHAnsi"/>
        </w:rPr>
        <w:t xml:space="preserve"> is specific to chemistry.  </w:t>
      </w:r>
    </w:p>
    <w:p w14:paraId="5AC94255" w14:textId="385E1377" w:rsidR="00DA198D" w:rsidRDefault="00F070C5" w:rsidP="00F070C5">
      <w:pPr>
        <w:pStyle w:val="ListParagraph"/>
        <w:numPr>
          <w:ilvl w:val="1"/>
          <w:numId w:val="25"/>
        </w:numPr>
        <w:rPr>
          <w:rFonts w:cstheme="minorHAnsi"/>
        </w:rPr>
      </w:pPr>
      <w:r>
        <w:rPr>
          <w:rFonts w:cstheme="minorHAnsi"/>
        </w:rPr>
        <w:t>Comment:  The Panel commends the department for creating this new course sequence, and for their attention</w:t>
      </w:r>
      <w:r w:rsidR="000F3A04">
        <w:rPr>
          <w:rFonts w:cstheme="minorHAnsi"/>
        </w:rPr>
        <w:t xml:space="preserve"> to student success and</w:t>
      </w:r>
      <w:r>
        <w:rPr>
          <w:rFonts w:cstheme="minorHAnsi"/>
        </w:rPr>
        <w:t xml:space="preserve"> diversity, </w:t>
      </w:r>
      <w:r w:rsidR="000F3A04">
        <w:rPr>
          <w:rFonts w:cstheme="minorHAnsi"/>
        </w:rPr>
        <w:t>equity,</w:t>
      </w:r>
      <w:r>
        <w:rPr>
          <w:rFonts w:cstheme="minorHAnsi"/>
        </w:rPr>
        <w:t xml:space="preserve"> and inclusion in the Natural and Mathematical Sciences.  </w:t>
      </w:r>
    </w:p>
    <w:p w14:paraId="5A456C18" w14:textId="156B7D0A" w:rsidR="00A45BA5" w:rsidRDefault="00F070C5" w:rsidP="00A45BA5">
      <w:pPr>
        <w:pStyle w:val="ListParagraph"/>
        <w:numPr>
          <w:ilvl w:val="1"/>
          <w:numId w:val="25"/>
        </w:numPr>
        <w:rPr>
          <w:rFonts w:cstheme="minorHAnsi"/>
        </w:rPr>
      </w:pPr>
      <w:r>
        <w:rPr>
          <w:rFonts w:cstheme="minorHAnsi"/>
          <w:b/>
          <w:bCs/>
        </w:rPr>
        <w:t xml:space="preserve">Contingency:  </w:t>
      </w:r>
      <w:r>
        <w:rPr>
          <w:rFonts w:cstheme="minorHAnsi"/>
        </w:rPr>
        <w:t xml:space="preserve">The Panel asks that the department </w:t>
      </w:r>
      <w:r w:rsidR="00A45BA5">
        <w:rPr>
          <w:rFonts w:cstheme="minorHAnsi"/>
        </w:rPr>
        <w:t xml:space="preserve">consider dropping the option to enroll in the course with </w:t>
      </w:r>
      <w:r w:rsidR="00A45BA5" w:rsidRPr="00A45BA5">
        <w:rPr>
          <w:rFonts w:cstheme="minorHAnsi"/>
          <w:u w:val="single"/>
        </w:rPr>
        <w:t>only</w:t>
      </w:r>
      <w:r w:rsidR="00A45BA5" w:rsidRPr="00A45BA5">
        <w:rPr>
          <w:rFonts w:cstheme="minorHAnsi"/>
        </w:rPr>
        <w:t xml:space="preserve"> a</w:t>
      </w:r>
      <w:r w:rsidR="00A45BA5">
        <w:rPr>
          <w:rFonts w:cstheme="minorHAnsi"/>
        </w:rPr>
        <w:t xml:space="preserve"> math placement score of “N” or “R”.  As it is currently stated, the pre-requisite requirements allow for students with the math placement score “N” or “R” to enroll in Chemistry 1206 </w:t>
      </w:r>
      <w:r w:rsidR="00A45BA5">
        <w:rPr>
          <w:rFonts w:cstheme="minorHAnsi"/>
          <w:u w:val="single"/>
        </w:rPr>
        <w:t>without</w:t>
      </w:r>
      <w:r w:rsidR="00A45BA5">
        <w:rPr>
          <w:rFonts w:cstheme="minorHAnsi"/>
        </w:rPr>
        <w:t xml:space="preserve"> concurrently enrolling in a math c</w:t>
      </w:r>
      <w:r w:rsidR="00F80EFE">
        <w:rPr>
          <w:rFonts w:cstheme="minorHAnsi"/>
        </w:rPr>
        <w:t>our</w:t>
      </w:r>
      <w:r w:rsidR="00A45BA5">
        <w:rPr>
          <w:rFonts w:cstheme="minorHAnsi"/>
        </w:rPr>
        <w:t>s</w:t>
      </w:r>
      <w:r w:rsidR="00F80EFE">
        <w:rPr>
          <w:rFonts w:cstheme="minorHAnsi"/>
        </w:rPr>
        <w:t>e</w:t>
      </w:r>
      <w:r w:rsidR="00A45BA5">
        <w:rPr>
          <w:rFonts w:cstheme="minorHAnsi"/>
        </w:rPr>
        <w:t>.  The Panel offers the friendly observation that this could create two potential problems for students:</w:t>
      </w:r>
    </w:p>
    <w:p w14:paraId="28738867" w14:textId="1DFC2F6E" w:rsidR="00A45BA5" w:rsidRDefault="00A45BA5" w:rsidP="00A45BA5">
      <w:pPr>
        <w:pStyle w:val="ListParagraph"/>
        <w:numPr>
          <w:ilvl w:val="2"/>
          <w:numId w:val="25"/>
        </w:numPr>
        <w:rPr>
          <w:rFonts w:cstheme="minorHAnsi"/>
        </w:rPr>
      </w:pPr>
      <w:r>
        <w:rPr>
          <w:rFonts w:cstheme="minorHAnsi"/>
        </w:rPr>
        <w:t xml:space="preserve">Students who enroll in Chemistry 1206 </w:t>
      </w:r>
      <w:r w:rsidR="000F3A04">
        <w:rPr>
          <w:rFonts w:cstheme="minorHAnsi"/>
        </w:rPr>
        <w:t>may</w:t>
      </w:r>
      <w:r>
        <w:rPr>
          <w:rFonts w:cstheme="minorHAnsi"/>
        </w:rPr>
        <w:t xml:space="preserve"> not be receiving the parallel mathematics instruction necessary to be successful in Chemistry 1206.</w:t>
      </w:r>
      <w:r w:rsidR="000F3A04">
        <w:rPr>
          <w:rFonts w:cstheme="minorHAnsi"/>
        </w:rPr>
        <w:t xml:space="preserve">  </w:t>
      </w:r>
    </w:p>
    <w:p w14:paraId="2091D9E3" w14:textId="2D0FA9D6" w:rsidR="009462E9" w:rsidRDefault="00A45BA5" w:rsidP="009462E9">
      <w:pPr>
        <w:pStyle w:val="ListParagraph"/>
        <w:numPr>
          <w:ilvl w:val="2"/>
          <w:numId w:val="25"/>
        </w:numPr>
        <w:rPr>
          <w:rFonts w:cstheme="minorHAnsi"/>
        </w:rPr>
      </w:pPr>
      <w:r>
        <w:rPr>
          <w:rFonts w:cstheme="minorHAnsi"/>
        </w:rPr>
        <w:t>Students who successfully complete Chemistry 1206 and wish to enroll in Chemistry 1208</w:t>
      </w:r>
      <w:r w:rsidR="000F3A04">
        <w:rPr>
          <w:rFonts w:cstheme="minorHAnsi"/>
        </w:rPr>
        <w:t xml:space="preserve"> will need a grade of C- or better in Math 1120, 1130, 1131, 1148, 1150, or higher</w:t>
      </w:r>
      <w:r w:rsidR="009462E9">
        <w:rPr>
          <w:rFonts w:cstheme="minorHAnsi"/>
        </w:rPr>
        <w:t xml:space="preserve"> to do so</w:t>
      </w:r>
      <w:r w:rsidR="000F3A04">
        <w:rPr>
          <w:rFonts w:cstheme="minorHAnsi"/>
        </w:rPr>
        <w:t>.  If students with math placement levels of “N” or “R” are not enrolled in Math 1148 (for students who receive a score of “</w:t>
      </w:r>
      <w:proofErr w:type="gramStart"/>
      <w:r w:rsidR="000F3A04">
        <w:rPr>
          <w:rFonts w:cstheme="minorHAnsi"/>
        </w:rPr>
        <w:t>N</w:t>
      </w:r>
      <w:proofErr w:type="gramEnd"/>
      <w:r w:rsidR="000F3A04">
        <w:rPr>
          <w:rFonts w:cstheme="minorHAnsi"/>
        </w:rPr>
        <w:t>”) or Math 1120 (for students who receive a score of “R”) concurrently with Chemistry 1206, they will not be able to continue to 1208 in the following semester.</w:t>
      </w:r>
    </w:p>
    <w:p w14:paraId="13C77B7A" w14:textId="64EDF84D" w:rsidR="000F3A04" w:rsidRDefault="009462E9" w:rsidP="009462E9">
      <w:pPr>
        <w:ind w:left="1440"/>
        <w:rPr>
          <w:rFonts w:cstheme="minorHAnsi"/>
        </w:rPr>
      </w:pPr>
      <w:r w:rsidRPr="009462E9">
        <w:rPr>
          <w:rFonts w:cstheme="minorHAnsi"/>
        </w:rPr>
        <w:t xml:space="preserve">While the Panel is </w:t>
      </w:r>
      <w:r w:rsidRPr="009462E9">
        <w:rPr>
          <w:rFonts w:cstheme="minorHAnsi"/>
          <w:u w:val="single"/>
        </w:rPr>
        <w:t>not</w:t>
      </w:r>
      <w:r w:rsidRPr="009462E9">
        <w:rPr>
          <w:rFonts w:cstheme="minorHAnsi"/>
        </w:rPr>
        <w:t xml:space="preserve"> dictating </w:t>
      </w:r>
      <w:r w:rsidR="00F80EFE">
        <w:rPr>
          <w:rFonts w:cstheme="minorHAnsi"/>
        </w:rPr>
        <w:t xml:space="preserve">that </w:t>
      </w:r>
      <w:r w:rsidRPr="009462E9">
        <w:rPr>
          <w:rFonts w:cstheme="minorHAnsi"/>
        </w:rPr>
        <w:t>the department change the pre-requisite, g</w:t>
      </w:r>
      <w:r w:rsidR="000F3A04" w:rsidRPr="009462E9">
        <w:rPr>
          <w:rFonts w:cstheme="minorHAnsi"/>
        </w:rPr>
        <w:t>iven the department’s clear focus on student success in this course, the Panel</w:t>
      </w:r>
      <w:r>
        <w:rPr>
          <w:rFonts w:cstheme="minorHAnsi"/>
        </w:rPr>
        <w:t xml:space="preserve"> felt that the department might wish to know about the (possibly unintended) consequences of the current structure.</w:t>
      </w:r>
      <w:r w:rsidR="00F80EFE">
        <w:rPr>
          <w:rFonts w:cstheme="minorHAnsi"/>
        </w:rPr>
        <w:t xml:space="preserve">  They recommend removing mention of math placement scores from the pre-requisite requirements.</w:t>
      </w:r>
    </w:p>
    <w:p w14:paraId="29C3DFB4" w14:textId="1FA3EDF1" w:rsidR="009462E9" w:rsidRDefault="009462E9" w:rsidP="009462E9">
      <w:pPr>
        <w:pStyle w:val="ListParagraph"/>
        <w:numPr>
          <w:ilvl w:val="1"/>
          <w:numId w:val="25"/>
        </w:numPr>
        <w:rPr>
          <w:rFonts w:cstheme="minorHAnsi"/>
        </w:rPr>
      </w:pPr>
      <w:r>
        <w:rPr>
          <w:rFonts w:cstheme="minorHAnsi"/>
          <w:i/>
          <w:iCs/>
        </w:rPr>
        <w:t xml:space="preserve">Recommendation: </w:t>
      </w:r>
      <w:r>
        <w:rPr>
          <w:rFonts w:cstheme="minorHAnsi"/>
        </w:rPr>
        <w:t>The Panel recommends that the department reconsider the policy of discarding records related to student grades after 60 days</w:t>
      </w:r>
      <w:r w:rsidR="00D5346F">
        <w:rPr>
          <w:rFonts w:cstheme="minorHAnsi"/>
        </w:rPr>
        <w:t xml:space="preserve"> (syllabus pg. 5).  According to the </w:t>
      </w:r>
      <w:hyperlink r:id="rId5" w:history="1">
        <w:r w:rsidR="00D5346F" w:rsidRPr="008D4490">
          <w:rPr>
            <w:rStyle w:val="Hyperlink"/>
            <w:rFonts w:cstheme="minorHAnsi"/>
          </w:rPr>
          <w:t>Faculty Rules 3335-8-23(A) and 3335-8-23.1</w:t>
        </w:r>
      </w:hyperlink>
      <w:r w:rsidR="00D5346F">
        <w:rPr>
          <w:rFonts w:cstheme="minorHAnsi"/>
        </w:rPr>
        <w:t xml:space="preserve">, materials submitted by a student to satisfy course requirements must be preserved until the last day on which a grade change may be initiated, which is prior to the end of the second succeeding semester or summer term.  More information and a chart </w:t>
      </w:r>
      <w:r w:rsidR="008D4490">
        <w:rPr>
          <w:rFonts w:cstheme="minorHAnsi"/>
        </w:rPr>
        <w:t xml:space="preserve">outlining the </w:t>
      </w:r>
      <w:r w:rsidR="008D4490" w:rsidRPr="008D4490">
        <w:rPr>
          <w:rFonts w:cstheme="minorHAnsi"/>
        </w:rPr>
        <w:t xml:space="preserve">OSU General Records </w:t>
      </w:r>
      <w:r w:rsidR="008D4490" w:rsidRPr="008D4490">
        <w:rPr>
          <w:rFonts w:cstheme="minorHAnsi"/>
        </w:rPr>
        <w:lastRenderedPageBreak/>
        <w:t>Retention Schedule</w:t>
      </w:r>
      <w:r w:rsidR="008D4490">
        <w:rPr>
          <w:rFonts w:cstheme="minorHAnsi"/>
        </w:rPr>
        <w:t xml:space="preserve"> are</w:t>
      </w:r>
      <w:r w:rsidR="00D5346F">
        <w:rPr>
          <w:rFonts w:cstheme="minorHAnsi"/>
        </w:rPr>
        <w:t xml:space="preserve"> available here: </w:t>
      </w:r>
      <w:hyperlink r:id="rId6" w:history="1">
        <w:r w:rsidR="008D4490" w:rsidRPr="007E1742">
          <w:rPr>
            <w:rStyle w:val="Hyperlink"/>
            <w:rFonts w:cstheme="minorHAnsi"/>
          </w:rPr>
          <w:t>https://library.osu.edu/osu-records-management/retention-schedules</w:t>
        </w:r>
      </w:hyperlink>
      <w:r w:rsidR="008D4490">
        <w:rPr>
          <w:rFonts w:cstheme="minorHAnsi"/>
        </w:rPr>
        <w:t xml:space="preserve"> (see pg. 5 and pg. 40 of the </w:t>
      </w:r>
      <w:hyperlink r:id="rId7" w:history="1">
        <w:r w:rsidR="008D4490" w:rsidRPr="008D4490">
          <w:rPr>
            <w:rStyle w:val="Hyperlink"/>
            <w:rFonts w:cstheme="minorHAnsi"/>
          </w:rPr>
          <w:t>OSU General Records Retention Schedule</w:t>
        </w:r>
      </w:hyperlink>
      <w:r w:rsidR="008D4490">
        <w:rPr>
          <w:rFonts w:cstheme="minorHAnsi"/>
        </w:rPr>
        <w:t xml:space="preserve"> PDF [pg. 33 of the document] for relevant information). </w:t>
      </w:r>
    </w:p>
    <w:p w14:paraId="6EEBFF74" w14:textId="61715A92" w:rsidR="009D579E" w:rsidRDefault="009D579E" w:rsidP="009462E9">
      <w:pPr>
        <w:pStyle w:val="ListParagraph"/>
        <w:numPr>
          <w:ilvl w:val="1"/>
          <w:numId w:val="25"/>
        </w:numPr>
        <w:rPr>
          <w:rFonts w:cstheme="minorHAnsi"/>
        </w:rPr>
      </w:pPr>
      <w:r>
        <w:rPr>
          <w:rFonts w:cstheme="minorHAnsi"/>
          <w:i/>
          <w:iCs/>
        </w:rPr>
        <w:t>Recommendation:</w:t>
      </w:r>
      <w:r>
        <w:rPr>
          <w:rFonts w:cstheme="minorHAnsi"/>
        </w:rPr>
        <w:t xml:space="preserve"> The Panel recommends that the department clarify the late homework policy (syllabus pg. 5), as the paragraph regarding Online Homework states that “no late work will be accepted for a grade”, then later states that “weekly due dates are meant for students to keep pace, but late homework will be accepted”.   </w:t>
      </w:r>
    </w:p>
    <w:p w14:paraId="65F35490" w14:textId="1FA4548F" w:rsidR="009D579E" w:rsidRDefault="009D579E" w:rsidP="0026616E">
      <w:pPr>
        <w:pStyle w:val="ListParagraph"/>
        <w:numPr>
          <w:ilvl w:val="1"/>
          <w:numId w:val="25"/>
        </w:numPr>
        <w:rPr>
          <w:rFonts w:cstheme="minorHAnsi"/>
        </w:rPr>
      </w:pPr>
      <w:r w:rsidRPr="0026616E">
        <w:rPr>
          <w:rFonts w:cstheme="minorHAnsi"/>
          <w:i/>
          <w:iCs/>
        </w:rPr>
        <w:t>Recommendation:</w:t>
      </w:r>
      <w:r w:rsidRPr="0026616E">
        <w:rPr>
          <w:rFonts w:cstheme="minorHAnsi"/>
        </w:rPr>
        <w:t xml:space="preserve"> The Panel recommends that the department be more specific about what devices </w:t>
      </w:r>
      <w:r w:rsidR="0026616E">
        <w:rPr>
          <w:rFonts w:cstheme="minorHAnsi"/>
        </w:rPr>
        <w:t>will support the lock-down browser (making them appropriate</w:t>
      </w:r>
      <w:r w:rsidRPr="0026616E">
        <w:rPr>
          <w:rFonts w:cstheme="minorHAnsi"/>
        </w:rPr>
        <w:t xml:space="preserve"> </w:t>
      </w:r>
      <w:r w:rsidR="0026616E">
        <w:rPr>
          <w:rFonts w:cstheme="minorHAnsi"/>
        </w:rPr>
        <w:t>for</w:t>
      </w:r>
      <w:r w:rsidRPr="0026616E">
        <w:rPr>
          <w:rFonts w:cstheme="minorHAnsi"/>
        </w:rPr>
        <w:t xml:space="preserve"> tak</w:t>
      </w:r>
      <w:r w:rsidR="0026616E">
        <w:rPr>
          <w:rFonts w:cstheme="minorHAnsi"/>
        </w:rPr>
        <w:t>ing</w:t>
      </w:r>
      <w:r w:rsidRPr="0026616E">
        <w:rPr>
          <w:rFonts w:cstheme="minorHAnsi"/>
        </w:rPr>
        <w:t xml:space="preserve"> the in-person Carmen exams</w:t>
      </w:r>
      <w:r w:rsidR="0026616E">
        <w:rPr>
          <w:rFonts w:cstheme="minorHAnsi"/>
        </w:rPr>
        <w:t>)</w:t>
      </w:r>
      <w:r w:rsidRPr="0026616E">
        <w:rPr>
          <w:rFonts w:cstheme="minorHAnsi"/>
        </w:rPr>
        <w:t>, as</w:t>
      </w:r>
      <w:r w:rsidR="0026616E" w:rsidRPr="0026616E">
        <w:rPr>
          <w:rFonts w:cstheme="minorHAnsi"/>
        </w:rPr>
        <w:t xml:space="preserve"> </w:t>
      </w:r>
      <w:r w:rsidRPr="0026616E">
        <w:rPr>
          <w:rFonts w:cstheme="minorHAnsi"/>
        </w:rPr>
        <w:t>the university no longer distributes iPads to incoming students</w:t>
      </w:r>
      <w:r w:rsidR="0026616E">
        <w:rPr>
          <w:rFonts w:cstheme="minorHAnsi"/>
        </w:rPr>
        <w:t>, and some tablets and phones may not be compatible with the exam format</w:t>
      </w:r>
      <w:r w:rsidR="0026616E" w:rsidRPr="0026616E">
        <w:rPr>
          <w:rFonts w:cstheme="minorHAnsi"/>
        </w:rPr>
        <w:t xml:space="preserve">.  If students must have access to a laptop or other device, this should be specified in the syllabus in both the section describing the exams (pg. 5) and the “Other Required Materials” section (pg. 2).  </w:t>
      </w:r>
      <w:r w:rsidR="0026616E">
        <w:rPr>
          <w:rFonts w:cstheme="minorHAnsi"/>
        </w:rPr>
        <w:t xml:space="preserve">They also offer the friendly observation that the section of the syllabus that outlines the importance of Carmen to students (pg. 1-2) suggests that they download the Canvas app but does not explain to students the connection between Carmen and Canvas. </w:t>
      </w:r>
    </w:p>
    <w:p w14:paraId="7E4CA32C" w14:textId="2C502CD6" w:rsidR="0026616E" w:rsidRDefault="0026616E" w:rsidP="0026616E">
      <w:pPr>
        <w:pStyle w:val="ListParagraph"/>
        <w:numPr>
          <w:ilvl w:val="1"/>
          <w:numId w:val="25"/>
        </w:numPr>
        <w:rPr>
          <w:rFonts w:cstheme="minorHAnsi"/>
        </w:rPr>
      </w:pPr>
      <w:r>
        <w:rPr>
          <w:rFonts w:cstheme="minorHAnsi"/>
          <w:i/>
          <w:iCs/>
        </w:rPr>
        <w:t>Recommendation:</w:t>
      </w:r>
      <w:r>
        <w:rPr>
          <w:rFonts w:cstheme="minorHAnsi"/>
        </w:rPr>
        <w:t xml:space="preserve"> The Panel recommends that the department </w:t>
      </w:r>
      <w:r w:rsidR="00B30BBB">
        <w:rPr>
          <w:rFonts w:cstheme="minorHAnsi"/>
        </w:rPr>
        <w:t>amend the statement that “Chem 1206 + Chem 1208 are equivalent to Chem 1210” (syllabus pg. 1), as other units may choose NOT to accept Chemistry 1208 as a replacement for 1210.  The Panel instead suggest</w:t>
      </w:r>
      <w:r w:rsidR="00F80EFE">
        <w:rPr>
          <w:rFonts w:cstheme="minorHAnsi"/>
        </w:rPr>
        <w:t>s</w:t>
      </w:r>
      <w:r w:rsidR="00B30BBB">
        <w:rPr>
          <w:rFonts w:cstheme="minorHAnsi"/>
        </w:rPr>
        <w:t xml:space="preserve"> language such as </w:t>
      </w:r>
      <w:r w:rsidR="00444696" w:rsidRPr="00B93EE8">
        <w:rPr>
          <w:rFonts w:cstheme="minorHAnsi"/>
        </w:rPr>
        <w:t xml:space="preserve">“The content of Chem 1206 +1208 </w:t>
      </w:r>
      <w:proofErr w:type="gramStart"/>
      <w:r w:rsidR="00444696" w:rsidRPr="00B93EE8">
        <w:rPr>
          <w:rFonts w:cstheme="minorHAnsi"/>
        </w:rPr>
        <w:t>are</w:t>
      </w:r>
      <w:proofErr w:type="gramEnd"/>
      <w:r w:rsidR="00444696" w:rsidRPr="00B93EE8">
        <w:rPr>
          <w:rFonts w:cstheme="minorHAnsi"/>
        </w:rPr>
        <w:t xml:space="preserve"> equivalent to the content in Chemistry 1210, and students who successfully complete Chemistry 1206 and 1208 will be eligible to enroll in Chemistry 1220.  If you plan to use Chemistry 1206 and 1208 in place of </w:t>
      </w:r>
      <w:r w:rsidR="00444696">
        <w:rPr>
          <w:rFonts w:cstheme="minorHAnsi"/>
        </w:rPr>
        <w:t xml:space="preserve">a pre-requisite of </w:t>
      </w:r>
      <w:r w:rsidR="00444696" w:rsidRPr="00B93EE8">
        <w:rPr>
          <w:rFonts w:cstheme="minorHAnsi"/>
        </w:rPr>
        <w:t xml:space="preserve">1210 </w:t>
      </w:r>
      <w:r w:rsidR="00444696">
        <w:rPr>
          <w:rFonts w:cstheme="minorHAnsi"/>
        </w:rPr>
        <w:t>required by</w:t>
      </w:r>
      <w:r w:rsidR="00444696" w:rsidRPr="00B93EE8">
        <w:rPr>
          <w:rFonts w:cstheme="minorHAnsi"/>
        </w:rPr>
        <w:t xml:space="preserve"> another department, please check with your Academic Advisor to make sure </w:t>
      </w:r>
      <w:r w:rsidR="00F80EFE">
        <w:rPr>
          <w:rFonts w:cstheme="minorHAnsi"/>
        </w:rPr>
        <w:t xml:space="preserve">that </w:t>
      </w:r>
      <w:r w:rsidR="00444696" w:rsidRPr="00B93EE8">
        <w:rPr>
          <w:rFonts w:cstheme="minorHAnsi"/>
        </w:rPr>
        <w:t>Chem 1206/1208 will fulfill that unit’s requirements.”</w:t>
      </w:r>
    </w:p>
    <w:p w14:paraId="2E3DD04B" w14:textId="2ECD1AA8" w:rsidR="00C0787A" w:rsidRDefault="00C0787A" w:rsidP="00785DAB">
      <w:pPr>
        <w:pStyle w:val="ListParagraph"/>
        <w:numPr>
          <w:ilvl w:val="1"/>
          <w:numId w:val="25"/>
        </w:numPr>
        <w:rPr>
          <w:rFonts w:cstheme="minorHAnsi"/>
        </w:rPr>
      </w:pPr>
      <w:r w:rsidRPr="00C0787A">
        <w:rPr>
          <w:rFonts w:cstheme="minorHAnsi"/>
          <w:i/>
          <w:iCs/>
        </w:rPr>
        <w:t>Recommendation:</w:t>
      </w:r>
      <w:r w:rsidRPr="00C0787A">
        <w:rPr>
          <w:rFonts w:cstheme="minorHAnsi"/>
        </w:rPr>
        <w:t xml:space="preserve"> The Panel suggests that the unit reach out to Central Advising and other stakeholder units across the university about the availability of this sequence (pending full approval), as advisors/other units may wish to adjust orientation materials, alter their own course pre-requisites, or clarify the relationship of Chem 1206/1208 to the General Education requirement for their students.</w:t>
      </w:r>
    </w:p>
    <w:p w14:paraId="4B4D4F40" w14:textId="46ECFC7F" w:rsidR="00C0787A" w:rsidRPr="00C0787A" w:rsidRDefault="00C0787A" w:rsidP="00C0787A">
      <w:pPr>
        <w:pStyle w:val="ListParagraph"/>
        <w:numPr>
          <w:ilvl w:val="1"/>
          <w:numId w:val="25"/>
        </w:numPr>
        <w:rPr>
          <w:rFonts w:cstheme="minorHAnsi"/>
        </w:rPr>
      </w:pPr>
      <w:r>
        <w:rPr>
          <w:rFonts w:cstheme="minorHAnsi"/>
        </w:rPr>
        <w:t xml:space="preserve">Comment: The Panel would like the department to be aware that there have been some issues </w:t>
      </w:r>
      <w:r w:rsidR="00F80EFE">
        <w:rPr>
          <w:rFonts w:cstheme="minorHAnsi"/>
        </w:rPr>
        <w:t>raised regarding</w:t>
      </w:r>
      <w:r>
        <w:rPr>
          <w:rFonts w:cstheme="minorHAnsi"/>
        </w:rPr>
        <w:t xml:space="preserve"> accessibility </w:t>
      </w:r>
      <w:r w:rsidR="00F80EFE">
        <w:rPr>
          <w:rFonts w:cstheme="minorHAnsi"/>
        </w:rPr>
        <w:t>in the</w:t>
      </w:r>
      <w:r>
        <w:rPr>
          <w:rFonts w:cstheme="minorHAnsi"/>
        </w:rPr>
        <w:t xml:space="preserve"> </w:t>
      </w:r>
      <w:proofErr w:type="spellStart"/>
      <w:r>
        <w:rPr>
          <w:rFonts w:cstheme="minorHAnsi"/>
        </w:rPr>
        <w:t>PebblePad</w:t>
      </w:r>
      <w:proofErr w:type="spellEnd"/>
      <w:r>
        <w:rPr>
          <w:rFonts w:cstheme="minorHAnsi"/>
        </w:rPr>
        <w:t xml:space="preserve"> software, so it may be</w:t>
      </w:r>
      <w:r w:rsidR="00381AA9">
        <w:rPr>
          <w:rFonts w:cstheme="minorHAnsi"/>
        </w:rPr>
        <w:t xml:space="preserve"> </w:t>
      </w:r>
      <w:r>
        <w:rPr>
          <w:rFonts w:cstheme="minorHAnsi"/>
        </w:rPr>
        <w:t>necessary to have alternativ</w:t>
      </w:r>
      <w:r w:rsidR="00381AA9">
        <w:rPr>
          <w:rFonts w:cstheme="minorHAnsi"/>
        </w:rPr>
        <w:t>e assignments available</w:t>
      </w:r>
      <w:r>
        <w:rPr>
          <w:rFonts w:cstheme="minorHAnsi"/>
        </w:rPr>
        <w:t xml:space="preserve">.  Additionally, while </w:t>
      </w:r>
      <w:proofErr w:type="spellStart"/>
      <w:r>
        <w:rPr>
          <w:rFonts w:cstheme="minorHAnsi"/>
        </w:rPr>
        <w:t>PebblePad</w:t>
      </w:r>
      <w:proofErr w:type="spellEnd"/>
      <w:r>
        <w:rPr>
          <w:rFonts w:cstheme="minorHAnsi"/>
        </w:rPr>
        <w:t xml:space="preserve"> is currently the software that will be used for the GEN Bookend Seminars, the department may wish to monitor this in case the university decides to change the platform around which these courses are built.</w:t>
      </w:r>
    </w:p>
    <w:p w14:paraId="34CBFBBA" w14:textId="6EDE4EFD" w:rsidR="00CD4034" w:rsidRDefault="00C0787A" w:rsidP="00CD4034">
      <w:pPr>
        <w:pStyle w:val="ListParagraph"/>
        <w:numPr>
          <w:ilvl w:val="1"/>
          <w:numId w:val="25"/>
        </w:numPr>
        <w:rPr>
          <w:rFonts w:cstheme="minorHAnsi"/>
        </w:rPr>
      </w:pPr>
      <w:r>
        <w:rPr>
          <w:rFonts w:cstheme="minorHAnsi"/>
        </w:rPr>
        <w:t xml:space="preserve">Comment: The Panel offers the friendly suggestion that </w:t>
      </w:r>
      <w:r w:rsidR="00CD4034">
        <w:rPr>
          <w:rFonts w:cstheme="minorHAnsi"/>
        </w:rPr>
        <w:t xml:space="preserve">the Academic Misconduct section of the syllabus (pg. 12-13) include </w:t>
      </w:r>
      <w:r>
        <w:rPr>
          <w:rFonts w:cstheme="minorHAnsi"/>
        </w:rPr>
        <w:t>a s</w:t>
      </w:r>
      <w:r w:rsidR="00CD4034">
        <w:rPr>
          <w:rFonts w:cstheme="minorHAnsi"/>
        </w:rPr>
        <w:t xml:space="preserve">tatement </w:t>
      </w:r>
      <w:r>
        <w:rPr>
          <w:rFonts w:cstheme="minorHAnsi"/>
        </w:rPr>
        <w:t xml:space="preserve">about </w:t>
      </w:r>
      <w:r w:rsidR="0000192C">
        <w:rPr>
          <w:rFonts w:cstheme="minorHAnsi"/>
        </w:rPr>
        <w:t>whether ar</w:t>
      </w:r>
      <w:r>
        <w:rPr>
          <w:rFonts w:cstheme="minorHAnsi"/>
        </w:rPr>
        <w:t xml:space="preserve">tificial </w:t>
      </w:r>
      <w:r w:rsidR="0000192C">
        <w:rPr>
          <w:rFonts w:cstheme="minorHAnsi"/>
        </w:rPr>
        <w:t>in</w:t>
      </w:r>
      <w:r>
        <w:rPr>
          <w:rFonts w:cstheme="minorHAnsi"/>
        </w:rPr>
        <w:t>telligence</w:t>
      </w:r>
      <w:r w:rsidR="0000192C">
        <w:rPr>
          <w:rFonts w:cstheme="minorHAnsi"/>
        </w:rPr>
        <w:t xml:space="preserve"> software (such as ChatGPT</w:t>
      </w:r>
      <w:r w:rsidR="00CD4034">
        <w:rPr>
          <w:rFonts w:cstheme="minorHAnsi"/>
        </w:rPr>
        <w:t>)</w:t>
      </w:r>
      <w:r w:rsidR="0000192C">
        <w:rPr>
          <w:rFonts w:cstheme="minorHAnsi"/>
        </w:rPr>
        <w:t>, is allowed to be used in the course</w:t>
      </w:r>
      <w:r w:rsidR="00CD4034">
        <w:rPr>
          <w:rFonts w:cstheme="minorHAnsi"/>
        </w:rPr>
        <w:t xml:space="preserve"> and, if so, in what contexts.</w:t>
      </w:r>
    </w:p>
    <w:p w14:paraId="12C90EB4" w14:textId="1B8522C1" w:rsidR="00313898" w:rsidRDefault="00313898" w:rsidP="00CD4034">
      <w:pPr>
        <w:pStyle w:val="ListParagraph"/>
        <w:numPr>
          <w:ilvl w:val="1"/>
          <w:numId w:val="25"/>
        </w:numPr>
        <w:rPr>
          <w:rFonts w:cstheme="minorHAnsi"/>
        </w:rPr>
      </w:pPr>
      <w:r w:rsidRPr="00CD4034">
        <w:rPr>
          <w:rFonts w:cstheme="minorHAnsi"/>
        </w:rPr>
        <w:t xml:space="preserve">Kaizar, Cole; approved </w:t>
      </w:r>
      <w:r w:rsidR="00E05130">
        <w:rPr>
          <w:rFonts w:cstheme="minorHAnsi"/>
        </w:rPr>
        <w:t xml:space="preserve">(one abstention) </w:t>
      </w:r>
      <w:r w:rsidRPr="00CD4034">
        <w:rPr>
          <w:rFonts w:cstheme="minorHAnsi"/>
        </w:rPr>
        <w:t>with</w:t>
      </w:r>
      <w:r w:rsidR="007022C1" w:rsidRPr="00CD4034">
        <w:rPr>
          <w:rFonts w:cstheme="minorHAnsi"/>
        </w:rPr>
        <w:t xml:space="preserve"> </w:t>
      </w:r>
      <w:r w:rsidR="00E05130">
        <w:rPr>
          <w:rFonts w:cstheme="minorHAnsi"/>
          <w:b/>
          <w:bCs/>
        </w:rPr>
        <w:t xml:space="preserve">one </w:t>
      </w:r>
      <w:r w:rsidR="00E05130" w:rsidRPr="00E05130">
        <w:rPr>
          <w:rFonts w:cstheme="minorHAnsi"/>
          <w:b/>
          <w:bCs/>
        </w:rPr>
        <w:t>contingency</w:t>
      </w:r>
      <w:r w:rsidR="00E05130">
        <w:rPr>
          <w:rFonts w:cstheme="minorHAnsi"/>
          <w:b/>
          <w:bCs/>
        </w:rPr>
        <w:t xml:space="preserve"> </w:t>
      </w:r>
      <w:r w:rsidR="00E05130">
        <w:rPr>
          <w:rFonts w:cstheme="minorHAnsi"/>
        </w:rPr>
        <w:t xml:space="preserve">(in bold above), </w:t>
      </w:r>
      <w:r w:rsidR="00E05130">
        <w:rPr>
          <w:rFonts w:cstheme="minorHAnsi"/>
          <w:i/>
          <w:iCs/>
        </w:rPr>
        <w:t xml:space="preserve">five recommendations </w:t>
      </w:r>
      <w:r w:rsidR="00E05130">
        <w:rPr>
          <w:rFonts w:cstheme="minorHAnsi"/>
        </w:rPr>
        <w:t>(in italics above) and three comments.</w:t>
      </w:r>
      <w:r w:rsidR="007022C1" w:rsidRPr="00CD4034">
        <w:rPr>
          <w:rFonts w:cstheme="minorHAnsi"/>
        </w:rPr>
        <w:t xml:space="preserve"> </w:t>
      </w:r>
    </w:p>
    <w:p w14:paraId="5D92F82A" w14:textId="77777777" w:rsidR="00444696" w:rsidRPr="00444696" w:rsidRDefault="00444696" w:rsidP="00444696">
      <w:pPr>
        <w:rPr>
          <w:rFonts w:cstheme="minorHAnsi"/>
        </w:rPr>
      </w:pPr>
    </w:p>
    <w:p w14:paraId="76AF4CF2" w14:textId="1D3A8F3B" w:rsidR="003E0300" w:rsidRDefault="000C120D" w:rsidP="002317DE">
      <w:pPr>
        <w:pStyle w:val="ListParagraph"/>
        <w:numPr>
          <w:ilvl w:val="0"/>
          <w:numId w:val="25"/>
        </w:numPr>
        <w:rPr>
          <w:rFonts w:cstheme="minorHAnsi"/>
        </w:rPr>
      </w:pPr>
      <w:r w:rsidRPr="002317DE">
        <w:rPr>
          <w:rFonts w:cstheme="minorHAnsi"/>
        </w:rPr>
        <w:lastRenderedPageBreak/>
        <w:t>Chemistry 1208 (new course requesting GEL Foundation Natural Sciences)</w:t>
      </w:r>
    </w:p>
    <w:p w14:paraId="6A9599DB" w14:textId="1F997089" w:rsidR="00444696" w:rsidRDefault="00444696" w:rsidP="00444696">
      <w:pPr>
        <w:pStyle w:val="ListParagraph"/>
        <w:numPr>
          <w:ilvl w:val="1"/>
          <w:numId w:val="25"/>
        </w:numPr>
        <w:rPr>
          <w:rFonts w:cstheme="minorHAnsi"/>
        </w:rPr>
      </w:pPr>
      <w:r>
        <w:rPr>
          <w:rFonts w:cstheme="minorHAnsi"/>
          <w:b/>
          <w:bCs/>
        </w:rPr>
        <w:t xml:space="preserve">Contingency: </w:t>
      </w:r>
      <w:r>
        <w:rPr>
          <w:rFonts w:cstheme="minorHAnsi"/>
        </w:rPr>
        <w:t xml:space="preserve">The Panel asks that the department include in the syllabus </w:t>
      </w:r>
      <w:r w:rsidR="00A221F2">
        <w:rPr>
          <w:rFonts w:cstheme="minorHAnsi"/>
        </w:rPr>
        <w:t>both</w:t>
      </w:r>
      <w:r>
        <w:rPr>
          <w:rFonts w:cstheme="minorHAnsi"/>
        </w:rPr>
        <w:t xml:space="preserve"> the goals and ELOs for the GEN Foundations: Natural Science category.  Currently, pg. 3-4 of the syllabus lists the ELOs, but not the goals to which they are related. </w:t>
      </w:r>
      <w:r w:rsidR="00A221F2">
        <w:rPr>
          <w:rFonts w:cstheme="minorHAnsi"/>
        </w:rPr>
        <w:t xml:space="preserve"> The goals and ELOs for the New General Education are available in an easy-to-copy/paste format here:</w:t>
      </w:r>
      <w:r w:rsidR="00A221F2" w:rsidRPr="00A221F2">
        <w:t xml:space="preserve"> </w:t>
      </w:r>
      <w:hyperlink r:id="rId8" w:history="1">
        <w:r w:rsidR="00A221F2" w:rsidRPr="007E1742">
          <w:rPr>
            <w:rStyle w:val="Hyperlink"/>
            <w:rFonts w:cstheme="minorHAnsi"/>
          </w:rPr>
          <w:t>https://asccas.osu.edu/new-general-education-gen-goals-and-elos</w:t>
        </w:r>
      </w:hyperlink>
      <w:r w:rsidR="00A221F2">
        <w:rPr>
          <w:rFonts w:cstheme="minorHAnsi"/>
        </w:rPr>
        <w:t>.  Additionally, the Panel offers a friendly reminder</w:t>
      </w:r>
      <w:r w:rsidR="00FB3A48">
        <w:rPr>
          <w:rFonts w:cstheme="minorHAnsi"/>
        </w:rPr>
        <w:t xml:space="preserve"> that, while a paragraph explaining how this course meets the ELOs of the GEN category is required, the goals do not need to be accompanied by a similar explanation.</w:t>
      </w:r>
    </w:p>
    <w:p w14:paraId="27C6C64D" w14:textId="50E4E847" w:rsidR="00FB3A48" w:rsidRDefault="00FB3A48" w:rsidP="00444696">
      <w:pPr>
        <w:pStyle w:val="ListParagraph"/>
        <w:numPr>
          <w:ilvl w:val="1"/>
          <w:numId w:val="25"/>
        </w:numPr>
        <w:rPr>
          <w:rFonts w:cstheme="minorHAnsi"/>
        </w:rPr>
      </w:pPr>
      <w:r>
        <w:rPr>
          <w:rFonts w:cstheme="minorHAnsi"/>
          <w:b/>
          <w:bCs/>
        </w:rPr>
        <w:t xml:space="preserve">Contingency: </w:t>
      </w:r>
      <w:r>
        <w:rPr>
          <w:rFonts w:cstheme="minorHAnsi"/>
        </w:rPr>
        <w:t xml:space="preserve">The Panel requests that the department amend the Course Workload Expectation (syllabus pg. 6) to state that this is a 4 credit-hour course rather than a </w:t>
      </w:r>
      <w:r w:rsidR="00E21A00">
        <w:rPr>
          <w:rFonts w:cstheme="minorHAnsi"/>
        </w:rPr>
        <w:t>3-credit</w:t>
      </w:r>
      <w:r>
        <w:rPr>
          <w:rFonts w:cstheme="minorHAnsi"/>
        </w:rPr>
        <w:t xml:space="preserve"> hour course.</w:t>
      </w:r>
    </w:p>
    <w:p w14:paraId="78AFDF7B" w14:textId="1C7647C4" w:rsidR="00E21A00" w:rsidRDefault="00E21A00" w:rsidP="00444696">
      <w:pPr>
        <w:pStyle w:val="ListParagraph"/>
        <w:numPr>
          <w:ilvl w:val="1"/>
          <w:numId w:val="25"/>
        </w:numPr>
        <w:rPr>
          <w:rFonts w:cstheme="minorHAnsi"/>
        </w:rPr>
      </w:pPr>
      <w:r>
        <w:rPr>
          <w:rFonts w:cstheme="minorHAnsi"/>
          <w:i/>
          <w:iCs/>
        </w:rPr>
        <w:t xml:space="preserve">Recommendation: </w:t>
      </w:r>
      <w:r>
        <w:rPr>
          <w:rFonts w:cstheme="minorHAnsi"/>
        </w:rPr>
        <w:t xml:space="preserve">The Panel suggests that the department consider the addition of Math 1140 (Calculus with Review I) as an acceptable pre-requisite/co-requisite for Chemistry 1208, as its content is aligned with the other acceptable pre-requisite courses.  More information on Math 1140 can be found here: </w:t>
      </w:r>
      <w:hyperlink r:id="rId9" w:history="1">
        <w:r w:rsidRPr="007E1742">
          <w:rPr>
            <w:rStyle w:val="Hyperlink"/>
            <w:rFonts w:cstheme="minorHAnsi"/>
          </w:rPr>
          <w:t>https://math.osu.edu/courses/math-1140</w:t>
        </w:r>
      </w:hyperlink>
      <w:r>
        <w:rPr>
          <w:rFonts w:cstheme="minorHAnsi"/>
        </w:rPr>
        <w:t xml:space="preserve">. </w:t>
      </w:r>
    </w:p>
    <w:p w14:paraId="53DE6287" w14:textId="7DA9D063" w:rsidR="008D4490" w:rsidRDefault="008D4490" w:rsidP="008D4490">
      <w:pPr>
        <w:pStyle w:val="ListParagraph"/>
        <w:numPr>
          <w:ilvl w:val="1"/>
          <w:numId w:val="25"/>
        </w:numPr>
        <w:rPr>
          <w:rFonts w:cstheme="minorHAnsi"/>
        </w:rPr>
      </w:pPr>
      <w:r>
        <w:rPr>
          <w:rFonts w:cstheme="minorHAnsi"/>
          <w:i/>
          <w:iCs/>
        </w:rPr>
        <w:t xml:space="preserve">Recommendation: </w:t>
      </w:r>
      <w:r>
        <w:rPr>
          <w:rFonts w:cstheme="minorHAnsi"/>
        </w:rPr>
        <w:t xml:space="preserve">The Panel recommends that the department reconsider the policy of discarding records related to student grades after 60 days (syllabus pg. 5).  According to the </w:t>
      </w:r>
      <w:hyperlink r:id="rId10" w:history="1">
        <w:r w:rsidRPr="008D4490">
          <w:rPr>
            <w:rStyle w:val="Hyperlink"/>
            <w:rFonts w:cstheme="minorHAnsi"/>
          </w:rPr>
          <w:t>Faculty Rule</w:t>
        </w:r>
        <w:r w:rsidR="00E05130">
          <w:rPr>
            <w:rStyle w:val="Hyperlink"/>
            <w:rFonts w:cstheme="minorHAnsi"/>
          </w:rPr>
          <w:t>s</w:t>
        </w:r>
        <w:r w:rsidRPr="008D4490">
          <w:rPr>
            <w:rStyle w:val="Hyperlink"/>
            <w:rFonts w:cstheme="minorHAnsi"/>
          </w:rPr>
          <w:t xml:space="preserve"> 3335-8-23(A) and 3335-8-23.1</w:t>
        </w:r>
      </w:hyperlink>
      <w:r>
        <w:rPr>
          <w:rFonts w:cstheme="minorHAnsi"/>
        </w:rPr>
        <w:t xml:space="preserve">, materials submitted by a student to satisfy course requirements must be preserved until the last day on which a grade change may be initiated, which is prior to the end of the second succeeding semester or summer term.  More information and a chart outlining the </w:t>
      </w:r>
      <w:r w:rsidRPr="008D4490">
        <w:rPr>
          <w:rFonts w:cstheme="minorHAnsi"/>
        </w:rPr>
        <w:t>OSU General Records Retention Schedule</w:t>
      </w:r>
      <w:r>
        <w:rPr>
          <w:rFonts w:cstheme="minorHAnsi"/>
        </w:rPr>
        <w:t xml:space="preserve"> are available here: </w:t>
      </w:r>
      <w:hyperlink r:id="rId11" w:history="1">
        <w:r w:rsidRPr="007E1742">
          <w:rPr>
            <w:rStyle w:val="Hyperlink"/>
            <w:rFonts w:cstheme="minorHAnsi"/>
          </w:rPr>
          <w:t>https://library.osu.edu/osu-records-management/retention-schedules</w:t>
        </w:r>
      </w:hyperlink>
      <w:r>
        <w:rPr>
          <w:rFonts w:cstheme="minorHAnsi"/>
        </w:rPr>
        <w:t xml:space="preserve"> (see pg. 5 and pg. 40 of the </w:t>
      </w:r>
      <w:hyperlink r:id="rId12" w:history="1">
        <w:r w:rsidRPr="008D4490">
          <w:rPr>
            <w:rStyle w:val="Hyperlink"/>
            <w:rFonts w:cstheme="minorHAnsi"/>
          </w:rPr>
          <w:t>OSU General Records Retention Schedule</w:t>
        </w:r>
      </w:hyperlink>
      <w:r>
        <w:rPr>
          <w:rFonts w:cstheme="minorHAnsi"/>
        </w:rPr>
        <w:t xml:space="preserve"> PDF [pg. 33 of the document] for relevant information). </w:t>
      </w:r>
    </w:p>
    <w:p w14:paraId="3873DF71" w14:textId="7D4EB521" w:rsidR="008D4490" w:rsidRDefault="00E05130" w:rsidP="008D4490">
      <w:pPr>
        <w:pStyle w:val="ListParagraph"/>
        <w:numPr>
          <w:ilvl w:val="1"/>
          <w:numId w:val="25"/>
        </w:numPr>
        <w:rPr>
          <w:rFonts w:cstheme="minorHAnsi"/>
        </w:rPr>
      </w:pPr>
      <w:r>
        <w:rPr>
          <w:rFonts w:cstheme="minorHAnsi"/>
          <w:i/>
          <w:iCs/>
        </w:rPr>
        <w:t>Recommendation:</w:t>
      </w:r>
      <w:r>
        <w:rPr>
          <w:rFonts w:cstheme="minorHAnsi"/>
        </w:rPr>
        <w:t xml:space="preserve"> The Panel recommends that the department clarify the late homework policy (syllabus pg. 5), as the paragraph regarding Online Homework states that “no late work will be accepted for a grade”, then later states that “weekly due dates are meant for students to keep pace, but late homework will be accepted”.   </w:t>
      </w:r>
    </w:p>
    <w:p w14:paraId="65DD108A" w14:textId="4BDD2A4F" w:rsidR="00B93EE8" w:rsidRDefault="00B93EE8" w:rsidP="00B93EE8">
      <w:pPr>
        <w:pStyle w:val="ListParagraph"/>
        <w:numPr>
          <w:ilvl w:val="1"/>
          <w:numId w:val="25"/>
        </w:numPr>
        <w:rPr>
          <w:rFonts w:cstheme="minorHAnsi"/>
        </w:rPr>
      </w:pPr>
      <w:r w:rsidRPr="0026616E">
        <w:rPr>
          <w:rFonts w:cstheme="minorHAnsi"/>
          <w:i/>
          <w:iCs/>
        </w:rPr>
        <w:t>Recommendation:</w:t>
      </w:r>
      <w:r w:rsidRPr="0026616E">
        <w:rPr>
          <w:rFonts w:cstheme="minorHAnsi"/>
        </w:rPr>
        <w:t xml:space="preserve"> The Panel recommends that the department be more specific about what devices </w:t>
      </w:r>
      <w:r>
        <w:rPr>
          <w:rFonts w:cstheme="minorHAnsi"/>
        </w:rPr>
        <w:t>will support the lock-down browser (making them appropriate</w:t>
      </w:r>
      <w:r w:rsidRPr="0026616E">
        <w:rPr>
          <w:rFonts w:cstheme="minorHAnsi"/>
        </w:rPr>
        <w:t xml:space="preserve"> </w:t>
      </w:r>
      <w:r>
        <w:rPr>
          <w:rFonts w:cstheme="minorHAnsi"/>
        </w:rPr>
        <w:t>for</w:t>
      </w:r>
      <w:r w:rsidRPr="0026616E">
        <w:rPr>
          <w:rFonts w:cstheme="minorHAnsi"/>
        </w:rPr>
        <w:t xml:space="preserve"> tak</w:t>
      </w:r>
      <w:r>
        <w:rPr>
          <w:rFonts w:cstheme="minorHAnsi"/>
        </w:rPr>
        <w:t>ing</w:t>
      </w:r>
      <w:r w:rsidRPr="0026616E">
        <w:rPr>
          <w:rFonts w:cstheme="minorHAnsi"/>
        </w:rPr>
        <w:t xml:space="preserve"> the in-person Carmen exams</w:t>
      </w:r>
      <w:r>
        <w:rPr>
          <w:rFonts w:cstheme="minorHAnsi"/>
        </w:rPr>
        <w:t xml:space="preserve">) and Notability (for lab notebooks), </w:t>
      </w:r>
      <w:r w:rsidRPr="0026616E">
        <w:rPr>
          <w:rFonts w:cstheme="minorHAnsi"/>
        </w:rPr>
        <w:t>as the university no longer distributes iPads to incoming students</w:t>
      </w:r>
      <w:r>
        <w:rPr>
          <w:rFonts w:cstheme="minorHAnsi"/>
        </w:rPr>
        <w:t>, and some tablets and phones may not be compatible with the exam format or Notability</w:t>
      </w:r>
      <w:r w:rsidRPr="0026616E">
        <w:rPr>
          <w:rFonts w:cstheme="minorHAnsi"/>
        </w:rPr>
        <w:t xml:space="preserve">.  If students must have access to a laptop or other device, this should be specified in the syllabus in both the section describing the exams (pg. 5) and the “Other Required Materials” section (pg. 2).  </w:t>
      </w:r>
      <w:r>
        <w:rPr>
          <w:rFonts w:cstheme="minorHAnsi"/>
        </w:rPr>
        <w:t xml:space="preserve">They also offer the friendly observation that the section of the syllabus that outlines the importance of Carmen to students (pg. 1-2) suggests that they download the Canvas app but does not explain to students the connection between Carmen and Canvas. </w:t>
      </w:r>
    </w:p>
    <w:p w14:paraId="205D39BB" w14:textId="77777777" w:rsidR="00F80EFE" w:rsidRPr="00F80EFE" w:rsidRDefault="00B93EE8" w:rsidP="00B93EE8">
      <w:pPr>
        <w:pStyle w:val="ListParagraph"/>
        <w:numPr>
          <w:ilvl w:val="1"/>
          <w:numId w:val="25"/>
        </w:numPr>
        <w:rPr>
          <w:rFonts w:cstheme="minorHAnsi"/>
        </w:rPr>
      </w:pPr>
      <w:r w:rsidRPr="00B93EE8">
        <w:rPr>
          <w:rFonts w:cstheme="minorHAnsi"/>
          <w:i/>
          <w:iCs/>
        </w:rPr>
        <w:t>Recommendation:</w:t>
      </w:r>
      <w:r w:rsidRPr="00B93EE8">
        <w:rPr>
          <w:rFonts w:cstheme="minorHAnsi"/>
        </w:rPr>
        <w:t xml:space="preserve"> The Panel recommends that the department amend the statement that “Chem 1206 + Chem 1208 are equivalent to Chem 1210” (syllabus pg. 1), as other units may choose NOT to accept Chemistry 1208 as a replacement for 1210.  The Panel instead suggest language such as “The content of Chem 1206 +1208 </w:t>
      </w:r>
      <w:proofErr w:type="gramStart"/>
      <w:r w:rsidRPr="00B93EE8">
        <w:rPr>
          <w:rFonts w:cstheme="minorHAnsi"/>
        </w:rPr>
        <w:t>are</w:t>
      </w:r>
      <w:proofErr w:type="gramEnd"/>
      <w:r w:rsidRPr="00B93EE8">
        <w:rPr>
          <w:rFonts w:cstheme="minorHAnsi"/>
        </w:rPr>
        <w:t xml:space="preserve"> equivalent to </w:t>
      </w:r>
      <w:r w:rsidRPr="00B93EE8">
        <w:rPr>
          <w:rFonts w:cstheme="minorHAnsi"/>
        </w:rPr>
        <w:lastRenderedPageBreak/>
        <w:t xml:space="preserve">the content in Chemistry 1210, and students who successfully complete Chemistry 1206 and 1208 will be eligible to enroll in Chemistry 1220.  If you plan to use Chemistry 1206 and 1208 in place of </w:t>
      </w:r>
      <w:r w:rsidR="00444696">
        <w:rPr>
          <w:rFonts w:cstheme="minorHAnsi"/>
        </w:rPr>
        <w:t xml:space="preserve">a pre-requisite of </w:t>
      </w:r>
      <w:r w:rsidRPr="00B93EE8">
        <w:rPr>
          <w:rFonts w:cstheme="minorHAnsi"/>
        </w:rPr>
        <w:t xml:space="preserve">1210 </w:t>
      </w:r>
      <w:r w:rsidR="00444696">
        <w:rPr>
          <w:rFonts w:cstheme="minorHAnsi"/>
        </w:rPr>
        <w:t>required by</w:t>
      </w:r>
      <w:r w:rsidRPr="00B93EE8">
        <w:rPr>
          <w:rFonts w:cstheme="minorHAnsi"/>
        </w:rPr>
        <w:t xml:space="preserve"> another department, please check with your Academic Advisor to make sure Chem 1206/1208 will fulfill that unit’s requirements.”</w:t>
      </w:r>
      <w:r w:rsidRPr="00B93EE8">
        <w:rPr>
          <w:rFonts w:cstheme="minorHAnsi"/>
          <w:i/>
          <w:iCs/>
        </w:rPr>
        <w:t xml:space="preserve"> </w:t>
      </w:r>
    </w:p>
    <w:p w14:paraId="422372CF" w14:textId="4F879B4A" w:rsidR="00B93EE8" w:rsidRDefault="00B93EE8" w:rsidP="00B93EE8">
      <w:pPr>
        <w:pStyle w:val="ListParagraph"/>
        <w:numPr>
          <w:ilvl w:val="1"/>
          <w:numId w:val="25"/>
        </w:numPr>
        <w:rPr>
          <w:rFonts w:cstheme="minorHAnsi"/>
        </w:rPr>
      </w:pPr>
      <w:r w:rsidRPr="00C0787A">
        <w:rPr>
          <w:rFonts w:cstheme="minorHAnsi"/>
          <w:i/>
          <w:iCs/>
        </w:rPr>
        <w:t>Recommendation:</w:t>
      </w:r>
      <w:r w:rsidRPr="00C0787A">
        <w:rPr>
          <w:rFonts w:cstheme="minorHAnsi"/>
        </w:rPr>
        <w:t xml:space="preserve"> The Panel suggests that the unit reach out to Central Advising and other stakeholder units across the university about the availability of this sequence (pending full approval), as advisors/other units may wish to adjust orientation materials, alter their own course pre-requisites, or clarify the relationship of Chem 1206/1208 to the General Education requirement for their students.</w:t>
      </w:r>
    </w:p>
    <w:p w14:paraId="421613F4" w14:textId="59D40D87" w:rsidR="007B644D" w:rsidRDefault="007B644D" w:rsidP="00B93EE8">
      <w:pPr>
        <w:pStyle w:val="ListParagraph"/>
        <w:numPr>
          <w:ilvl w:val="1"/>
          <w:numId w:val="25"/>
        </w:numPr>
        <w:rPr>
          <w:rFonts w:cstheme="minorHAnsi"/>
        </w:rPr>
      </w:pPr>
      <w:r>
        <w:rPr>
          <w:rFonts w:cstheme="minorHAnsi"/>
          <w:i/>
          <w:iCs/>
        </w:rPr>
        <w:t>Recommendation:</w:t>
      </w:r>
      <w:r>
        <w:rPr>
          <w:rFonts w:cstheme="minorHAnsi"/>
        </w:rPr>
        <w:t xml:space="preserve"> The Panel suggests that the department take care to use the correct course number in the lab syllabus.  There are several references to Chem 1207 (pgs. 10, 11, and 12) as well as several instances when the course is referred to as Chem 1210 (pgs. 4,5, and 10).</w:t>
      </w:r>
    </w:p>
    <w:p w14:paraId="3717DDFE" w14:textId="491D12E0" w:rsidR="007B644D" w:rsidRDefault="007B644D" w:rsidP="00B93EE8">
      <w:pPr>
        <w:pStyle w:val="ListParagraph"/>
        <w:numPr>
          <w:ilvl w:val="1"/>
          <w:numId w:val="25"/>
        </w:numPr>
        <w:rPr>
          <w:rFonts w:cstheme="minorHAnsi"/>
        </w:rPr>
      </w:pPr>
      <w:r>
        <w:rPr>
          <w:rFonts w:cstheme="minorHAnsi"/>
          <w:i/>
          <w:iCs/>
        </w:rPr>
        <w:t>Recommendation:</w:t>
      </w:r>
      <w:r>
        <w:rPr>
          <w:rFonts w:cstheme="minorHAnsi"/>
        </w:rPr>
        <w:t xml:space="preserve"> The Panel recommends that the department make certain that the lab syllabus is </w:t>
      </w:r>
      <w:r w:rsidR="003F1B9C">
        <w:rPr>
          <w:rFonts w:cstheme="minorHAnsi"/>
        </w:rPr>
        <w:t>up to date</w:t>
      </w:r>
      <w:r>
        <w:rPr>
          <w:rFonts w:cstheme="minorHAnsi"/>
        </w:rPr>
        <w:t xml:space="preserve"> </w:t>
      </w:r>
      <w:r w:rsidR="00F80EFE">
        <w:rPr>
          <w:rFonts w:cstheme="minorHAnsi"/>
        </w:rPr>
        <w:t>regarding</w:t>
      </w:r>
      <w:r>
        <w:rPr>
          <w:rFonts w:cstheme="minorHAnsi"/>
        </w:rPr>
        <w:t xml:space="preserve"> items such as </w:t>
      </w:r>
      <w:r w:rsidR="003F1B9C">
        <w:rPr>
          <w:rFonts w:cstheme="minorHAnsi"/>
        </w:rPr>
        <w:t xml:space="preserve">the </w:t>
      </w:r>
      <w:r>
        <w:rPr>
          <w:rFonts w:cstheme="minorHAnsi"/>
        </w:rPr>
        <w:t xml:space="preserve">university-owned/distributed iPads </w:t>
      </w:r>
      <w:r w:rsidR="003F1B9C">
        <w:rPr>
          <w:rFonts w:cstheme="minorHAnsi"/>
        </w:rPr>
        <w:t xml:space="preserve">(pgs. 1,2 and 7) </w:t>
      </w:r>
      <w:r>
        <w:rPr>
          <w:rFonts w:cstheme="minorHAnsi"/>
        </w:rPr>
        <w:t>and the Celeste Lab Renovations</w:t>
      </w:r>
      <w:r w:rsidR="003F1B9C">
        <w:rPr>
          <w:rFonts w:cstheme="minorHAnsi"/>
        </w:rPr>
        <w:t xml:space="preserve"> (pg. 5)</w:t>
      </w:r>
      <w:r>
        <w:rPr>
          <w:rFonts w:cstheme="minorHAnsi"/>
        </w:rPr>
        <w:t xml:space="preserve">. </w:t>
      </w:r>
    </w:p>
    <w:p w14:paraId="77EF95A1" w14:textId="317E2174" w:rsidR="003F1B9C" w:rsidRDefault="003F1B9C" w:rsidP="00B93EE8">
      <w:pPr>
        <w:pStyle w:val="ListParagraph"/>
        <w:numPr>
          <w:ilvl w:val="1"/>
          <w:numId w:val="25"/>
        </w:numPr>
        <w:rPr>
          <w:rFonts w:cstheme="minorHAnsi"/>
        </w:rPr>
      </w:pPr>
      <w:r>
        <w:rPr>
          <w:rFonts w:cstheme="minorHAnsi"/>
          <w:i/>
          <w:iCs/>
        </w:rPr>
        <w:t>Recommendation:</w:t>
      </w:r>
      <w:r>
        <w:rPr>
          <w:rFonts w:cstheme="minorHAnsi"/>
        </w:rPr>
        <w:t xml:space="preserve"> The Panel suggests that the department clarify how many </w:t>
      </w:r>
      <w:proofErr w:type="spellStart"/>
      <w:r>
        <w:rPr>
          <w:rFonts w:cstheme="minorHAnsi"/>
        </w:rPr>
        <w:t>PebblePad</w:t>
      </w:r>
      <w:proofErr w:type="spellEnd"/>
      <w:r>
        <w:rPr>
          <w:rFonts w:cstheme="minorHAnsi"/>
        </w:rPr>
        <w:t xml:space="preserve"> assignments students will have, as the description of the assignment</w:t>
      </w:r>
      <w:r w:rsidR="00F80EFE">
        <w:rPr>
          <w:rFonts w:cstheme="minorHAnsi"/>
        </w:rPr>
        <w:t>s</w:t>
      </w:r>
      <w:r>
        <w:rPr>
          <w:rFonts w:cstheme="minorHAnsi"/>
        </w:rPr>
        <w:t xml:space="preserve"> on pg. 5-6 of the syllabus refers to both “7 instances of graded work” and “1 hour for each of the 6 graded works”.  Should there be a</w:t>
      </w:r>
      <w:r w:rsidR="00F80EFE">
        <w:rPr>
          <w:rFonts w:cstheme="minorHAnsi"/>
        </w:rPr>
        <w:t xml:space="preserve"> </w:t>
      </w:r>
      <w:r>
        <w:rPr>
          <w:rFonts w:cstheme="minorHAnsi"/>
        </w:rPr>
        <w:t>7</w:t>
      </w:r>
      <w:r w:rsidRPr="003F1B9C">
        <w:rPr>
          <w:rFonts w:cstheme="minorHAnsi"/>
          <w:vertAlign w:val="superscript"/>
        </w:rPr>
        <w:t>th</w:t>
      </w:r>
      <w:r>
        <w:rPr>
          <w:rFonts w:cstheme="minorHAnsi"/>
        </w:rPr>
        <w:t xml:space="preserve"> assignment, the Panel also recommends including this on the course schedule</w:t>
      </w:r>
      <w:r w:rsidR="00F80EFE">
        <w:rPr>
          <w:rFonts w:cstheme="minorHAnsi"/>
        </w:rPr>
        <w:t xml:space="preserve"> (syllabus pg. 7-8)</w:t>
      </w:r>
      <w:r>
        <w:rPr>
          <w:rFonts w:cstheme="minorHAnsi"/>
        </w:rPr>
        <w:t>.</w:t>
      </w:r>
    </w:p>
    <w:p w14:paraId="64F84EBB" w14:textId="2F0A9771" w:rsidR="00B93EE8" w:rsidRPr="00C0787A" w:rsidRDefault="00B93EE8" w:rsidP="00B93EE8">
      <w:pPr>
        <w:pStyle w:val="ListParagraph"/>
        <w:numPr>
          <w:ilvl w:val="1"/>
          <w:numId w:val="25"/>
        </w:numPr>
        <w:rPr>
          <w:rFonts w:cstheme="minorHAnsi"/>
        </w:rPr>
      </w:pPr>
      <w:r>
        <w:rPr>
          <w:rFonts w:cstheme="minorHAnsi"/>
        </w:rPr>
        <w:t xml:space="preserve">Comment: The Panel would like the department to be aware that there have been some issues </w:t>
      </w:r>
      <w:r w:rsidR="00F80EFE">
        <w:rPr>
          <w:rFonts w:cstheme="minorHAnsi"/>
        </w:rPr>
        <w:t>raised regarding</w:t>
      </w:r>
      <w:r>
        <w:rPr>
          <w:rFonts w:cstheme="minorHAnsi"/>
        </w:rPr>
        <w:t xml:space="preserve"> accessibility </w:t>
      </w:r>
      <w:r w:rsidR="00F80EFE">
        <w:rPr>
          <w:rFonts w:cstheme="minorHAnsi"/>
        </w:rPr>
        <w:t xml:space="preserve">in the </w:t>
      </w:r>
      <w:proofErr w:type="spellStart"/>
      <w:r>
        <w:rPr>
          <w:rFonts w:cstheme="minorHAnsi"/>
        </w:rPr>
        <w:t>PebblePad</w:t>
      </w:r>
      <w:proofErr w:type="spellEnd"/>
      <w:r>
        <w:rPr>
          <w:rFonts w:cstheme="minorHAnsi"/>
        </w:rPr>
        <w:t xml:space="preserve"> software, so it may be necessary to have alternative assignments available.  Additionally, while </w:t>
      </w:r>
      <w:proofErr w:type="spellStart"/>
      <w:r>
        <w:rPr>
          <w:rFonts w:cstheme="minorHAnsi"/>
        </w:rPr>
        <w:t>PebblePad</w:t>
      </w:r>
      <w:proofErr w:type="spellEnd"/>
      <w:r>
        <w:rPr>
          <w:rFonts w:cstheme="minorHAnsi"/>
        </w:rPr>
        <w:t xml:space="preserve"> is currently the software that will be used for the GEN Bookend Seminars, the department may wish to monitor this in case the university decides to change the platform around which these courses are built.</w:t>
      </w:r>
    </w:p>
    <w:p w14:paraId="554E44AA" w14:textId="5E8C04C7" w:rsidR="00B93EE8" w:rsidRPr="00B93EE8" w:rsidRDefault="00B93EE8" w:rsidP="00B93EE8">
      <w:pPr>
        <w:pStyle w:val="ListParagraph"/>
        <w:numPr>
          <w:ilvl w:val="1"/>
          <w:numId w:val="25"/>
        </w:numPr>
        <w:rPr>
          <w:rFonts w:cstheme="minorHAnsi"/>
        </w:rPr>
      </w:pPr>
      <w:r>
        <w:rPr>
          <w:rFonts w:cstheme="minorHAnsi"/>
        </w:rPr>
        <w:t>Comment: The Panel offers the friendly suggestion that the Academic Misconduct section of the syllabus (pg. 12-13) include a statement about whether artificial intelligence software (such as ChatGPT), is allowed to be used in the course and, if so, in what contexts.</w:t>
      </w:r>
    </w:p>
    <w:p w14:paraId="438F145F" w14:textId="1426C1A9" w:rsidR="00FF05B8" w:rsidRPr="002317DE" w:rsidRDefault="00FF05B8" w:rsidP="00D60A62">
      <w:pPr>
        <w:pStyle w:val="ListParagraph"/>
        <w:numPr>
          <w:ilvl w:val="1"/>
          <w:numId w:val="25"/>
        </w:numPr>
        <w:rPr>
          <w:rFonts w:cstheme="minorHAnsi"/>
        </w:rPr>
      </w:pPr>
      <w:r>
        <w:rPr>
          <w:rFonts w:cstheme="minorHAnsi"/>
        </w:rPr>
        <w:t xml:space="preserve">Kaizar, Hamilton; approved </w:t>
      </w:r>
      <w:r w:rsidR="0090017A">
        <w:rPr>
          <w:rFonts w:cstheme="minorHAnsi"/>
        </w:rPr>
        <w:t xml:space="preserve">(one abstention) </w:t>
      </w:r>
      <w:r>
        <w:rPr>
          <w:rFonts w:cstheme="minorHAnsi"/>
        </w:rPr>
        <w:t xml:space="preserve">with </w:t>
      </w:r>
      <w:r w:rsidR="0090017A">
        <w:rPr>
          <w:rFonts w:cstheme="minorHAnsi"/>
          <w:b/>
          <w:bCs/>
        </w:rPr>
        <w:t xml:space="preserve">two contingencies </w:t>
      </w:r>
      <w:r w:rsidR="0090017A">
        <w:rPr>
          <w:rFonts w:cstheme="minorHAnsi"/>
        </w:rPr>
        <w:t xml:space="preserve">(in bold above), </w:t>
      </w:r>
      <w:r w:rsidR="00F80EFE">
        <w:rPr>
          <w:rFonts w:cstheme="minorHAnsi"/>
          <w:i/>
          <w:iCs/>
        </w:rPr>
        <w:t>nine</w:t>
      </w:r>
      <w:r w:rsidR="0090017A">
        <w:rPr>
          <w:rFonts w:cstheme="minorHAnsi"/>
          <w:i/>
          <w:iCs/>
        </w:rPr>
        <w:t xml:space="preserve"> recommendations </w:t>
      </w:r>
      <w:r w:rsidR="0090017A">
        <w:rPr>
          <w:rFonts w:cstheme="minorHAnsi"/>
        </w:rPr>
        <w:t>(in italics above) and two comments.</w:t>
      </w:r>
    </w:p>
    <w:sectPr w:rsidR="00FF05B8" w:rsidRPr="002317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C15B9"/>
    <w:multiLevelType w:val="hybridMultilevel"/>
    <w:tmpl w:val="106E909C"/>
    <w:lvl w:ilvl="0" w:tplc="0409000F">
      <w:start w:val="1"/>
      <w:numFmt w:val="decimal"/>
      <w:lvlText w:val="%1."/>
      <w:lvlJc w:val="left"/>
      <w:pPr>
        <w:ind w:left="63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792D27"/>
    <w:multiLevelType w:val="multilevel"/>
    <w:tmpl w:val="53206B48"/>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rPr>
    </w:lvl>
    <w:lvl w:ilvl="2">
      <w:start w:val="1"/>
      <w:numFmt w:val="bullet"/>
      <w:lvlText w:val="o"/>
      <w:lvlJc w:val="left"/>
      <w:pPr>
        <w:ind w:left="2160" w:hanging="360"/>
      </w:pPr>
      <w:rPr>
        <w:rFonts w:ascii="Courier New" w:hAnsi="Courier New" w:cs="Courier New"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5A22E59"/>
    <w:multiLevelType w:val="multilevel"/>
    <w:tmpl w:val="9474BE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80943D7"/>
    <w:multiLevelType w:val="multilevel"/>
    <w:tmpl w:val="AB2432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9AE706B"/>
    <w:multiLevelType w:val="hybridMultilevel"/>
    <w:tmpl w:val="882EAC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11D2ECE8">
      <w:start w:val="4"/>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EE2BFC"/>
    <w:multiLevelType w:val="multilevel"/>
    <w:tmpl w:val="458A4F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3D42785"/>
    <w:multiLevelType w:val="multilevel"/>
    <w:tmpl w:val="A20AC4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6CA40E7"/>
    <w:multiLevelType w:val="hybridMultilevel"/>
    <w:tmpl w:val="36F25F54"/>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95906E6"/>
    <w:multiLevelType w:val="multilevel"/>
    <w:tmpl w:val="8848D8C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9" w15:restartNumberingAfterBreak="0">
    <w:nsid w:val="34137EE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76E3EAB"/>
    <w:multiLevelType w:val="multilevel"/>
    <w:tmpl w:val="DA269B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BE92A9C"/>
    <w:multiLevelType w:val="multilevel"/>
    <w:tmpl w:val="DA046E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0153540"/>
    <w:multiLevelType w:val="multilevel"/>
    <w:tmpl w:val="B36A6D38"/>
    <w:lvl w:ilvl="0">
      <w:start w:val="1"/>
      <w:numFmt w:val="decimal"/>
      <w:lvlText w:val="%1."/>
      <w:lvlJc w:val="left"/>
      <w:pPr>
        <w:tabs>
          <w:tab w:val="num" w:pos="720"/>
        </w:tabs>
        <w:ind w:left="720" w:hanging="360"/>
      </w:pPr>
    </w:lvl>
    <w:lvl w:ilvl="1">
      <w:start w:val="1"/>
      <w:numFmt w:val="decimal"/>
      <w:lvlText w:val="%2."/>
      <w:lvlJc w:val="left"/>
      <w:pPr>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04E214C"/>
    <w:multiLevelType w:val="hybridMultilevel"/>
    <w:tmpl w:val="2ACEA0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EE32A2"/>
    <w:multiLevelType w:val="multilevel"/>
    <w:tmpl w:val="54FE21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78F75A6"/>
    <w:multiLevelType w:val="multilevel"/>
    <w:tmpl w:val="3774EF8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rPr>
        <w:rFonts w:asciiTheme="minorHAnsi" w:eastAsiaTheme="minorHAnsi" w:hAnsiTheme="minorHAnsi" w:cstheme="minorHAnsi"/>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A0F5CCC"/>
    <w:multiLevelType w:val="hybridMultilevel"/>
    <w:tmpl w:val="86FA989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7" w15:restartNumberingAfterBreak="0">
    <w:nsid w:val="53CD2D76"/>
    <w:multiLevelType w:val="hybridMultilevel"/>
    <w:tmpl w:val="4BD250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28249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58782D35"/>
    <w:multiLevelType w:val="multilevel"/>
    <w:tmpl w:val="F3D255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D2E5E03"/>
    <w:multiLevelType w:val="multilevel"/>
    <w:tmpl w:val="BE6E33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1075C1D"/>
    <w:multiLevelType w:val="hybridMultilevel"/>
    <w:tmpl w:val="139A798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2" w15:restartNumberingAfterBreak="0">
    <w:nsid w:val="71DB3030"/>
    <w:multiLevelType w:val="multilevel"/>
    <w:tmpl w:val="A7C259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9DF207C"/>
    <w:multiLevelType w:val="hybridMultilevel"/>
    <w:tmpl w:val="B4E0940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7D922F43"/>
    <w:multiLevelType w:val="hybridMultilevel"/>
    <w:tmpl w:val="E352824E"/>
    <w:lvl w:ilvl="0" w:tplc="04090011">
      <w:start w:val="1"/>
      <w:numFmt w:val="decimal"/>
      <w:lvlText w:val="%1)"/>
      <w:lvlJc w:val="left"/>
      <w:pPr>
        <w:ind w:left="63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E6F347B"/>
    <w:multiLevelType w:val="hybridMultilevel"/>
    <w:tmpl w:val="075CC92C"/>
    <w:lvl w:ilvl="0" w:tplc="0409000F">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41711557">
    <w:abstractNumId w:val="24"/>
  </w:num>
  <w:num w:numId="2" w16cid:durableId="1148475701">
    <w:abstractNumId w:val="10"/>
  </w:num>
  <w:num w:numId="3" w16cid:durableId="139155741">
    <w:abstractNumId w:val="16"/>
  </w:num>
  <w:num w:numId="4" w16cid:durableId="341669041">
    <w:abstractNumId w:val="11"/>
  </w:num>
  <w:num w:numId="5" w16cid:durableId="975598036">
    <w:abstractNumId w:val="23"/>
  </w:num>
  <w:num w:numId="6" w16cid:durableId="561715993">
    <w:abstractNumId w:val="17"/>
  </w:num>
  <w:num w:numId="7" w16cid:durableId="490027763">
    <w:abstractNumId w:val="14"/>
  </w:num>
  <w:num w:numId="8" w16cid:durableId="832452559">
    <w:abstractNumId w:val="19"/>
  </w:num>
  <w:num w:numId="9" w16cid:durableId="2055152775">
    <w:abstractNumId w:val="0"/>
  </w:num>
  <w:num w:numId="10" w16cid:durableId="724137378">
    <w:abstractNumId w:val="6"/>
  </w:num>
  <w:num w:numId="11" w16cid:durableId="1938830911">
    <w:abstractNumId w:val="2"/>
  </w:num>
  <w:num w:numId="12" w16cid:durableId="1611351668">
    <w:abstractNumId w:val="7"/>
  </w:num>
  <w:num w:numId="13" w16cid:durableId="410548742">
    <w:abstractNumId w:val="5"/>
  </w:num>
  <w:num w:numId="14" w16cid:durableId="832065459">
    <w:abstractNumId w:val="9"/>
  </w:num>
  <w:num w:numId="15" w16cid:durableId="1292203343">
    <w:abstractNumId w:val="8"/>
  </w:num>
  <w:num w:numId="16" w16cid:durableId="2043897249">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216042617">
    <w:abstractNumId w:val="21"/>
  </w:num>
  <w:num w:numId="18" w16cid:durableId="1304461307">
    <w:abstractNumId w:val="22"/>
  </w:num>
  <w:num w:numId="19" w16cid:durableId="1823814999">
    <w:abstractNumId w:val="3"/>
  </w:num>
  <w:num w:numId="20" w16cid:durableId="31423440">
    <w:abstractNumId w:val="20"/>
  </w:num>
  <w:num w:numId="21" w16cid:durableId="1975793108">
    <w:abstractNumId w:val="18"/>
  </w:num>
  <w:num w:numId="22" w16cid:durableId="1226795051">
    <w:abstractNumId w:val="25"/>
  </w:num>
  <w:num w:numId="23" w16cid:durableId="796873115">
    <w:abstractNumId w:val="15"/>
  </w:num>
  <w:num w:numId="24" w16cid:durableId="654645182">
    <w:abstractNumId w:val="12"/>
  </w:num>
  <w:num w:numId="25" w16cid:durableId="1337878221">
    <w:abstractNumId w:val="4"/>
  </w:num>
  <w:num w:numId="26" w16cid:durableId="5542695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E8F"/>
    <w:rsid w:val="0000136F"/>
    <w:rsid w:val="0000192C"/>
    <w:rsid w:val="00006D8F"/>
    <w:rsid w:val="0001054A"/>
    <w:rsid w:val="000201D7"/>
    <w:rsid w:val="000306CF"/>
    <w:rsid w:val="000349AB"/>
    <w:rsid w:val="00034B23"/>
    <w:rsid w:val="00037D82"/>
    <w:rsid w:val="0004340B"/>
    <w:rsid w:val="0005496C"/>
    <w:rsid w:val="000570B5"/>
    <w:rsid w:val="0006246A"/>
    <w:rsid w:val="00062A01"/>
    <w:rsid w:val="0006477F"/>
    <w:rsid w:val="0007667C"/>
    <w:rsid w:val="00077FFE"/>
    <w:rsid w:val="00081DC6"/>
    <w:rsid w:val="00082DF7"/>
    <w:rsid w:val="0009444B"/>
    <w:rsid w:val="00096584"/>
    <w:rsid w:val="00096D66"/>
    <w:rsid w:val="000B0F19"/>
    <w:rsid w:val="000B221E"/>
    <w:rsid w:val="000B24C5"/>
    <w:rsid w:val="000B4B03"/>
    <w:rsid w:val="000B7EB3"/>
    <w:rsid w:val="000C120D"/>
    <w:rsid w:val="000C2B94"/>
    <w:rsid w:val="000C3D03"/>
    <w:rsid w:val="000C5AF6"/>
    <w:rsid w:val="000D05E2"/>
    <w:rsid w:val="000D2AE3"/>
    <w:rsid w:val="000D4433"/>
    <w:rsid w:val="000D6BD4"/>
    <w:rsid w:val="000E068D"/>
    <w:rsid w:val="000F3A04"/>
    <w:rsid w:val="000F7399"/>
    <w:rsid w:val="00106F5F"/>
    <w:rsid w:val="00115A87"/>
    <w:rsid w:val="00124BF9"/>
    <w:rsid w:val="00125ACB"/>
    <w:rsid w:val="0013005F"/>
    <w:rsid w:val="001345AA"/>
    <w:rsid w:val="00141FE9"/>
    <w:rsid w:val="00143CE4"/>
    <w:rsid w:val="00145577"/>
    <w:rsid w:val="00145F42"/>
    <w:rsid w:val="00151B08"/>
    <w:rsid w:val="00152CF2"/>
    <w:rsid w:val="00156C02"/>
    <w:rsid w:val="00164BFF"/>
    <w:rsid w:val="001826BA"/>
    <w:rsid w:val="001862D1"/>
    <w:rsid w:val="001A7B14"/>
    <w:rsid w:val="001C0675"/>
    <w:rsid w:val="001C3834"/>
    <w:rsid w:val="001D21ED"/>
    <w:rsid w:val="001E39B6"/>
    <w:rsid w:val="001F2D09"/>
    <w:rsid w:val="0020394B"/>
    <w:rsid w:val="0022344E"/>
    <w:rsid w:val="00226134"/>
    <w:rsid w:val="002317DE"/>
    <w:rsid w:val="00234A12"/>
    <w:rsid w:val="00250B28"/>
    <w:rsid w:val="002639F8"/>
    <w:rsid w:val="002653BB"/>
    <w:rsid w:val="0026616E"/>
    <w:rsid w:val="002674E1"/>
    <w:rsid w:val="00270F1C"/>
    <w:rsid w:val="00271990"/>
    <w:rsid w:val="00277307"/>
    <w:rsid w:val="00285666"/>
    <w:rsid w:val="0028717F"/>
    <w:rsid w:val="0029228D"/>
    <w:rsid w:val="00292AB9"/>
    <w:rsid w:val="002963B5"/>
    <w:rsid w:val="0029671F"/>
    <w:rsid w:val="002977A5"/>
    <w:rsid w:val="002A0A57"/>
    <w:rsid w:val="002B0549"/>
    <w:rsid w:val="002B062E"/>
    <w:rsid w:val="002B2746"/>
    <w:rsid w:val="002B4002"/>
    <w:rsid w:val="002B413E"/>
    <w:rsid w:val="002C0865"/>
    <w:rsid w:val="002C11D9"/>
    <w:rsid w:val="002C34D1"/>
    <w:rsid w:val="002D77E9"/>
    <w:rsid w:val="00301E3D"/>
    <w:rsid w:val="00306F72"/>
    <w:rsid w:val="00313898"/>
    <w:rsid w:val="0032181C"/>
    <w:rsid w:val="00332559"/>
    <w:rsid w:val="003355B5"/>
    <w:rsid w:val="003403A2"/>
    <w:rsid w:val="00346E75"/>
    <w:rsid w:val="00356D5F"/>
    <w:rsid w:val="003571E4"/>
    <w:rsid w:val="00357E68"/>
    <w:rsid w:val="003607D2"/>
    <w:rsid w:val="00360A14"/>
    <w:rsid w:val="00363B9C"/>
    <w:rsid w:val="003657AE"/>
    <w:rsid w:val="00366044"/>
    <w:rsid w:val="00367F6C"/>
    <w:rsid w:val="00371625"/>
    <w:rsid w:val="0037411D"/>
    <w:rsid w:val="003816E9"/>
    <w:rsid w:val="003818CF"/>
    <w:rsid w:val="00381AA9"/>
    <w:rsid w:val="00390E50"/>
    <w:rsid w:val="00392EBE"/>
    <w:rsid w:val="003971CF"/>
    <w:rsid w:val="00397DF4"/>
    <w:rsid w:val="003A5876"/>
    <w:rsid w:val="003B15A9"/>
    <w:rsid w:val="003B2227"/>
    <w:rsid w:val="003C4461"/>
    <w:rsid w:val="003D06C4"/>
    <w:rsid w:val="003D1A74"/>
    <w:rsid w:val="003D599F"/>
    <w:rsid w:val="003E0300"/>
    <w:rsid w:val="003E17C1"/>
    <w:rsid w:val="003E63DD"/>
    <w:rsid w:val="003E7CA0"/>
    <w:rsid w:val="003F1B9C"/>
    <w:rsid w:val="003F299E"/>
    <w:rsid w:val="003F6704"/>
    <w:rsid w:val="003F6BDF"/>
    <w:rsid w:val="003F7124"/>
    <w:rsid w:val="004049F0"/>
    <w:rsid w:val="00412DF7"/>
    <w:rsid w:val="00413274"/>
    <w:rsid w:val="00415AC2"/>
    <w:rsid w:val="004203FA"/>
    <w:rsid w:val="00421B0C"/>
    <w:rsid w:val="004249F2"/>
    <w:rsid w:val="004302F3"/>
    <w:rsid w:val="004314AD"/>
    <w:rsid w:val="0044048A"/>
    <w:rsid w:val="00444696"/>
    <w:rsid w:val="004709A4"/>
    <w:rsid w:val="004764D5"/>
    <w:rsid w:val="004860AA"/>
    <w:rsid w:val="00490C8C"/>
    <w:rsid w:val="00491666"/>
    <w:rsid w:val="004A67CC"/>
    <w:rsid w:val="004B00E4"/>
    <w:rsid w:val="004B48A5"/>
    <w:rsid w:val="004B4D25"/>
    <w:rsid w:val="004B6EF3"/>
    <w:rsid w:val="004C7106"/>
    <w:rsid w:val="004D14A0"/>
    <w:rsid w:val="004D2680"/>
    <w:rsid w:val="004D2D70"/>
    <w:rsid w:val="004E2E8F"/>
    <w:rsid w:val="004E48FD"/>
    <w:rsid w:val="004E4D67"/>
    <w:rsid w:val="004E7B14"/>
    <w:rsid w:val="004F1F02"/>
    <w:rsid w:val="004F7B7E"/>
    <w:rsid w:val="005134AB"/>
    <w:rsid w:val="005228AB"/>
    <w:rsid w:val="00526A13"/>
    <w:rsid w:val="005278B2"/>
    <w:rsid w:val="005374E9"/>
    <w:rsid w:val="005446F7"/>
    <w:rsid w:val="00545569"/>
    <w:rsid w:val="005524F0"/>
    <w:rsid w:val="005528F8"/>
    <w:rsid w:val="005537D7"/>
    <w:rsid w:val="005603E7"/>
    <w:rsid w:val="0056110C"/>
    <w:rsid w:val="0056680D"/>
    <w:rsid w:val="00575786"/>
    <w:rsid w:val="00582A77"/>
    <w:rsid w:val="00584EA3"/>
    <w:rsid w:val="005951FA"/>
    <w:rsid w:val="005A389B"/>
    <w:rsid w:val="005C12E8"/>
    <w:rsid w:val="005C1B56"/>
    <w:rsid w:val="005C4D3E"/>
    <w:rsid w:val="005D16EB"/>
    <w:rsid w:val="005D6EE4"/>
    <w:rsid w:val="005E08E3"/>
    <w:rsid w:val="005E2F5A"/>
    <w:rsid w:val="005E347F"/>
    <w:rsid w:val="005E606C"/>
    <w:rsid w:val="005E72A3"/>
    <w:rsid w:val="005F49CE"/>
    <w:rsid w:val="005F5683"/>
    <w:rsid w:val="005F77B1"/>
    <w:rsid w:val="00601F7E"/>
    <w:rsid w:val="00605EE8"/>
    <w:rsid w:val="00613B3F"/>
    <w:rsid w:val="00614FB4"/>
    <w:rsid w:val="00622771"/>
    <w:rsid w:val="006250F9"/>
    <w:rsid w:val="00625E93"/>
    <w:rsid w:val="00627663"/>
    <w:rsid w:val="00627910"/>
    <w:rsid w:val="00632706"/>
    <w:rsid w:val="00636703"/>
    <w:rsid w:val="00637436"/>
    <w:rsid w:val="006404FC"/>
    <w:rsid w:val="0064103F"/>
    <w:rsid w:val="0064791E"/>
    <w:rsid w:val="00651B25"/>
    <w:rsid w:val="00654977"/>
    <w:rsid w:val="00656938"/>
    <w:rsid w:val="00656961"/>
    <w:rsid w:val="00661228"/>
    <w:rsid w:val="006619B0"/>
    <w:rsid w:val="00661BA5"/>
    <w:rsid w:val="00665F05"/>
    <w:rsid w:val="006679A2"/>
    <w:rsid w:val="0067091B"/>
    <w:rsid w:val="00674EDC"/>
    <w:rsid w:val="0067587F"/>
    <w:rsid w:val="006772CE"/>
    <w:rsid w:val="006832B9"/>
    <w:rsid w:val="00684857"/>
    <w:rsid w:val="00690B09"/>
    <w:rsid w:val="00694E86"/>
    <w:rsid w:val="006B0FAD"/>
    <w:rsid w:val="006C266D"/>
    <w:rsid w:val="006C2A62"/>
    <w:rsid w:val="006C3358"/>
    <w:rsid w:val="006C53EC"/>
    <w:rsid w:val="006D1BD3"/>
    <w:rsid w:val="006D6B38"/>
    <w:rsid w:val="006E1D2D"/>
    <w:rsid w:val="006E207E"/>
    <w:rsid w:val="006E74E0"/>
    <w:rsid w:val="006F74F1"/>
    <w:rsid w:val="007022C1"/>
    <w:rsid w:val="007074CB"/>
    <w:rsid w:val="007222B7"/>
    <w:rsid w:val="007277ED"/>
    <w:rsid w:val="00736FF2"/>
    <w:rsid w:val="00743AC1"/>
    <w:rsid w:val="00750D30"/>
    <w:rsid w:val="00761612"/>
    <w:rsid w:val="0077060F"/>
    <w:rsid w:val="0077220F"/>
    <w:rsid w:val="007734E5"/>
    <w:rsid w:val="00782BDF"/>
    <w:rsid w:val="007845F9"/>
    <w:rsid w:val="00784D92"/>
    <w:rsid w:val="007968CB"/>
    <w:rsid w:val="007A2993"/>
    <w:rsid w:val="007A466B"/>
    <w:rsid w:val="007B3FB2"/>
    <w:rsid w:val="007B55D8"/>
    <w:rsid w:val="007B644D"/>
    <w:rsid w:val="007C0549"/>
    <w:rsid w:val="007C6699"/>
    <w:rsid w:val="007C783B"/>
    <w:rsid w:val="007F23B5"/>
    <w:rsid w:val="007F58DB"/>
    <w:rsid w:val="007F7023"/>
    <w:rsid w:val="0080370A"/>
    <w:rsid w:val="00810CAA"/>
    <w:rsid w:val="008129CD"/>
    <w:rsid w:val="00820406"/>
    <w:rsid w:val="00831BDF"/>
    <w:rsid w:val="00832ABB"/>
    <w:rsid w:val="00837505"/>
    <w:rsid w:val="00840996"/>
    <w:rsid w:val="0084182C"/>
    <w:rsid w:val="00843919"/>
    <w:rsid w:val="00851A43"/>
    <w:rsid w:val="008558C7"/>
    <w:rsid w:val="00863E85"/>
    <w:rsid w:val="00872337"/>
    <w:rsid w:val="00872E23"/>
    <w:rsid w:val="00873A08"/>
    <w:rsid w:val="00876222"/>
    <w:rsid w:val="00880269"/>
    <w:rsid w:val="00885B44"/>
    <w:rsid w:val="00886C98"/>
    <w:rsid w:val="00894821"/>
    <w:rsid w:val="00895928"/>
    <w:rsid w:val="00896758"/>
    <w:rsid w:val="00896A7C"/>
    <w:rsid w:val="008A1BE9"/>
    <w:rsid w:val="008B4755"/>
    <w:rsid w:val="008B526A"/>
    <w:rsid w:val="008C1EE4"/>
    <w:rsid w:val="008D412E"/>
    <w:rsid w:val="008D4490"/>
    <w:rsid w:val="008D5C92"/>
    <w:rsid w:val="008E02E4"/>
    <w:rsid w:val="008E3A4D"/>
    <w:rsid w:val="008F003D"/>
    <w:rsid w:val="008F7E11"/>
    <w:rsid w:val="0090017A"/>
    <w:rsid w:val="009075D4"/>
    <w:rsid w:val="00911605"/>
    <w:rsid w:val="0091471B"/>
    <w:rsid w:val="00916A68"/>
    <w:rsid w:val="00916DA7"/>
    <w:rsid w:val="00925649"/>
    <w:rsid w:val="00931264"/>
    <w:rsid w:val="009330F6"/>
    <w:rsid w:val="0093447B"/>
    <w:rsid w:val="00940E20"/>
    <w:rsid w:val="009421A4"/>
    <w:rsid w:val="009462E9"/>
    <w:rsid w:val="0095490D"/>
    <w:rsid w:val="00966B9E"/>
    <w:rsid w:val="00966C95"/>
    <w:rsid w:val="00977446"/>
    <w:rsid w:val="00980DA9"/>
    <w:rsid w:val="0098396A"/>
    <w:rsid w:val="009A782D"/>
    <w:rsid w:val="009B1D28"/>
    <w:rsid w:val="009B2675"/>
    <w:rsid w:val="009B386D"/>
    <w:rsid w:val="009B7DD4"/>
    <w:rsid w:val="009C1A89"/>
    <w:rsid w:val="009D257F"/>
    <w:rsid w:val="009D56E0"/>
    <w:rsid w:val="009D579E"/>
    <w:rsid w:val="009E139D"/>
    <w:rsid w:val="009E1795"/>
    <w:rsid w:val="009E4610"/>
    <w:rsid w:val="009F5281"/>
    <w:rsid w:val="009F7C33"/>
    <w:rsid w:val="009F7FCB"/>
    <w:rsid w:val="00A07080"/>
    <w:rsid w:val="00A146A1"/>
    <w:rsid w:val="00A14B9C"/>
    <w:rsid w:val="00A158C4"/>
    <w:rsid w:val="00A15AAB"/>
    <w:rsid w:val="00A169D1"/>
    <w:rsid w:val="00A221F2"/>
    <w:rsid w:val="00A30A56"/>
    <w:rsid w:val="00A312C1"/>
    <w:rsid w:val="00A32318"/>
    <w:rsid w:val="00A45BA5"/>
    <w:rsid w:val="00A620CE"/>
    <w:rsid w:val="00A62D55"/>
    <w:rsid w:val="00A65904"/>
    <w:rsid w:val="00A66455"/>
    <w:rsid w:val="00A67A1F"/>
    <w:rsid w:val="00A67F1C"/>
    <w:rsid w:val="00A77F31"/>
    <w:rsid w:val="00A81B42"/>
    <w:rsid w:val="00A95AE1"/>
    <w:rsid w:val="00AA20CB"/>
    <w:rsid w:val="00AA6A70"/>
    <w:rsid w:val="00AB4B1D"/>
    <w:rsid w:val="00AC0F06"/>
    <w:rsid w:val="00AC3E5A"/>
    <w:rsid w:val="00AD455D"/>
    <w:rsid w:val="00AD6447"/>
    <w:rsid w:val="00AF085B"/>
    <w:rsid w:val="00AF3E47"/>
    <w:rsid w:val="00B02AAC"/>
    <w:rsid w:val="00B04D6F"/>
    <w:rsid w:val="00B156F1"/>
    <w:rsid w:val="00B165A3"/>
    <w:rsid w:val="00B20211"/>
    <w:rsid w:val="00B24709"/>
    <w:rsid w:val="00B30BBB"/>
    <w:rsid w:val="00B4463A"/>
    <w:rsid w:val="00B51C06"/>
    <w:rsid w:val="00B51FFE"/>
    <w:rsid w:val="00B52AB2"/>
    <w:rsid w:val="00B55BAF"/>
    <w:rsid w:val="00B55DBA"/>
    <w:rsid w:val="00B62C00"/>
    <w:rsid w:val="00B66D28"/>
    <w:rsid w:val="00B761DE"/>
    <w:rsid w:val="00B77F0B"/>
    <w:rsid w:val="00B81C82"/>
    <w:rsid w:val="00B925A2"/>
    <w:rsid w:val="00B93EE8"/>
    <w:rsid w:val="00BA0AEC"/>
    <w:rsid w:val="00BA17C3"/>
    <w:rsid w:val="00BA4467"/>
    <w:rsid w:val="00BB0F7B"/>
    <w:rsid w:val="00BC1EE4"/>
    <w:rsid w:val="00BD74EB"/>
    <w:rsid w:val="00BF63E7"/>
    <w:rsid w:val="00C0650B"/>
    <w:rsid w:val="00C0787A"/>
    <w:rsid w:val="00C0788A"/>
    <w:rsid w:val="00C12FAD"/>
    <w:rsid w:val="00C15CC3"/>
    <w:rsid w:val="00C167C5"/>
    <w:rsid w:val="00C16FD0"/>
    <w:rsid w:val="00C20EDA"/>
    <w:rsid w:val="00C2420E"/>
    <w:rsid w:val="00C25313"/>
    <w:rsid w:val="00C3006D"/>
    <w:rsid w:val="00C31D87"/>
    <w:rsid w:val="00C32BF0"/>
    <w:rsid w:val="00C343F1"/>
    <w:rsid w:val="00C42039"/>
    <w:rsid w:val="00C70C68"/>
    <w:rsid w:val="00C73350"/>
    <w:rsid w:val="00C7563A"/>
    <w:rsid w:val="00C7670E"/>
    <w:rsid w:val="00C768AE"/>
    <w:rsid w:val="00C76AA0"/>
    <w:rsid w:val="00C777D9"/>
    <w:rsid w:val="00C85922"/>
    <w:rsid w:val="00CA5660"/>
    <w:rsid w:val="00CA779F"/>
    <w:rsid w:val="00CB060E"/>
    <w:rsid w:val="00CB1F86"/>
    <w:rsid w:val="00CB2594"/>
    <w:rsid w:val="00CC0854"/>
    <w:rsid w:val="00CC3BFB"/>
    <w:rsid w:val="00CC5231"/>
    <w:rsid w:val="00CC6D64"/>
    <w:rsid w:val="00CD1741"/>
    <w:rsid w:val="00CD3EB0"/>
    <w:rsid w:val="00CD4034"/>
    <w:rsid w:val="00CD4CA2"/>
    <w:rsid w:val="00CE2D51"/>
    <w:rsid w:val="00CE43FC"/>
    <w:rsid w:val="00CE60C4"/>
    <w:rsid w:val="00CE77D7"/>
    <w:rsid w:val="00CF3097"/>
    <w:rsid w:val="00CF43A3"/>
    <w:rsid w:val="00CF7854"/>
    <w:rsid w:val="00D030E8"/>
    <w:rsid w:val="00D036AF"/>
    <w:rsid w:val="00D03D8A"/>
    <w:rsid w:val="00D05086"/>
    <w:rsid w:val="00D17AF4"/>
    <w:rsid w:val="00D17D3D"/>
    <w:rsid w:val="00D22B7C"/>
    <w:rsid w:val="00D27237"/>
    <w:rsid w:val="00D30EF7"/>
    <w:rsid w:val="00D328F3"/>
    <w:rsid w:val="00D40C8E"/>
    <w:rsid w:val="00D4358A"/>
    <w:rsid w:val="00D50C34"/>
    <w:rsid w:val="00D526C5"/>
    <w:rsid w:val="00D5346F"/>
    <w:rsid w:val="00D5579D"/>
    <w:rsid w:val="00D60A62"/>
    <w:rsid w:val="00D61BA1"/>
    <w:rsid w:val="00D61BE1"/>
    <w:rsid w:val="00D75108"/>
    <w:rsid w:val="00D77E55"/>
    <w:rsid w:val="00D86230"/>
    <w:rsid w:val="00D8773C"/>
    <w:rsid w:val="00D944DD"/>
    <w:rsid w:val="00D97E35"/>
    <w:rsid w:val="00DA198D"/>
    <w:rsid w:val="00DA5146"/>
    <w:rsid w:val="00DB52D6"/>
    <w:rsid w:val="00DC053A"/>
    <w:rsid w:val="00DC14FC"/>
    <w:rsid w:val="00DC3B61"/>
    <w:rsid w:val="00DC5276"/>
    <w:rsid w:val="00DC532D"/>
    <w:rsid w:val="00DD0C26"/>
    <w:rsid w:val="00DD1182"/>
    <w:rsid w:val="00DD5596"/>
    <w:rsid w:val="00DD6068"/>
    <w:rsid w:val="00DE149D"/>
    <w:rsid w:val="00DF3B59"/>
    <w:rsid w:val="00DF4A69"/>
    <w:rsid w:val="00DF5F30"/>
    <w:rsid w:val="00DF6AA4"/>
    <w:rsid w:val="00E05130"/>
    <w:rsid w:val="00E05BC4"/>
    <w:rsid w:val="00E10D81"/>
    <w:rsid w:val="00E11B9F"/>
    <w:rsid w:val="00E168B5"/>
    <w:rsid w:val="00E207FB"/>
    <w:rsid w:val="00E2092B"/>
    <w:rsid w:val="00E21A00"/>
    <w:rsid w:val="00E21A94"/>
    <w:rsid w:val="00E23CAD"/>
    <w:rsid w:val="00E253AA"/>
    <w:rsid w:val="00E325FD"/>
    <w:rsid w:val="00E352BD"/>
    <w:rsid w:val="00E375CB"/>
    <w:rsid w:val="00E44280"/>
    <w:rsid w:val="00E462E8"/>
    <w:rsid w:val="00E51D65"/>
    <w:rsid w:val="00E5466D"/>
    <w:rsid w:val="00E54716"/>
    <w:rsid w:val="00E72F38"/>
    <w:rsid w:val="00E73F6F"/>
    <w:rsid w:val="00E744FC"/>
    <w:rsid w:val="00E80834"/>
    <w:rsid w:val="00E81AF9"/>
    <w:rsid w:val="00E972D9"/>
    <w:rsid w:val="00EA0857"/>
    <w:rsid w:val="00EA297C"/>
    <w:rsid w:val="00EA66CF"/>
    <w:rsid w:val="00EB11F1"/>
    <w:rsid w:val="00EB4B36"/>
    <w:rsid w:val="00EB561E"/>
    <w:rsid w:val="00EB5F18"/>
    <w:rsid w:val="00EB5FC2"/>
    <w:rsid w:val="00EC0149"/>
    <w:rsid w:val="00EE00AA"/>
    <w:rsid w:val="00EF05AB"/>
    <w:rsid w:val="00EF74EB"/>
    <w:rsid w:val="00F020B0"/>
    <w:rsid w:val="00F070C5"/>
    <w:rsid w:val="00F12D44"/>
    <w:rsid w:val="00F12DA7"/>
    <w:rsid w:val="00F21B73"/>
    <w:rsid w:val="00F315C0"/>
    <w:rsid w:val="00F3464D"/>
    <w:rsid w:val="00F372E1"/>
    <w:rsid w:val="00F3778C"/>
    <w:rsid w:val="00F40653"/>
    <w:rsid w:val="00F4220F"/>
    <w:rsid w:val="00F53075"/>
    <w:rsid w:val="00F55B1C"/>
    <w:rsid w:val="00F56833"/>
    <w:rsid w:val="00F63459"/>
    <w:rsid w:val="00F712A2"/>
    <w:rsid w:val="00F73FF2"/>
    <w:rsid w:val="00F758DD"/>
    <w:rsid w:val="00F75EB3"/>
    <w:rsid w:val="00F80EFE"/>
    <w:rsid w:val="00F81978"/>
    <w:rsid w:val="00F86D6F"/>
    <w:rsid w:val="00F9007A"/>
    <w:rsid w:val="00F90B9B"/>
    <w:rsid w:val="00F931A4"/>
    <w:rsid w:val="00FA36C8"/>
    <w:rsid w:val="00FA3C9C"/>
    <w:rsid w:val="00FB3A48"/>
    <w:rsid w:val="00FB6883"/>
    <w:rsid w:val="00FC2802"/>
    <w:rsid w:val="00FC4D89"/>
    <w:rsid w:val="00FC4EE9"/>
    <w:rsid w:val="00FD1EEC"/>
    <w:rsid w:val="00FD54EC"/>
    <w:rsid w:val="00FD68DE"/>
    <w:rsid w:val="00FE27FE"/>
    <w:rsid w:val="00FE77D4"/>
    <w:rsid w:val="00FE7A60"/>
    <w:rsid w:val="00FF05B8"/>
    <w:rsid w:val="00FF1839"/>
    <w:rsid w:val="00FF1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3BD3B"/>
  <w15:chartTrackingRefBased/>
  <w15:docId w15:val="{AA5488F7-5819-4D08-8420-709E74786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58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2E8F"/>
    <w:pPr>
      <w:ind w:left="720"/>
      <w:contextualSpacing/>
    </w:pPr>
  </w:style>
  <w:style w:type="character" w:styleId="Hyperlink">
    <w:name w:val="Hyperlink"/>
    <w:basedOn w:val="DefaultParagraphFont"/>
    <w:uiPriority w:val="99"/>
    <w:unhideWhenUsed/>
    <w:rsid w:val="004E2E8F"/>
    <w:rPr>
      <w:color w:val="0563C1" w:themeColor="hyperlink"/>
      <w:u w:val="single"/>
    </w:rPr>
  </w:style>
  <w:style w:type="character" w:styleId="UnresolvedMention">
    <w:name w:val="Unresolved Mention"/>
    <w:basedOn w:val="DefaultParagraphFont"/>
    <w:uiPriority w:val="99"/>
    <w:semiHidden/>
    <w:unhideWhenUsed/>
    <w:rsid w:val="004E2E8F"/>
    <w:rPr>
      <w:color w:val="605E5C"/>
      <w:shd w:val="clear" w:color="auto" w:fill="E1DFDD"/>
    </w:rPr>
  </w:style>
  <w:style w:type="character" w:styleId="CommentReference">
    <w:name w:val="annotation reference"/>
    <w:basedOn w:val="DefaultParagraphFont"/>
    <w:uiPriority w:val="99"/>
    <w:semiHidden/>
    <w:unhideWhenUsed/>
    <w:rsid w:val="00E44280"/>
    <w:rPr>
      <w:sz w:val="16"/>
      <w:szCs w:val="16"/>
    </w:rPr>
  </w:style>
  <w:style w:type="paragraph" w:styleId="CommentText">
    <w:name w:val="annotation text"/>
    <w:basedOn w:val="Normal"/>
    <w:link w:val="CommentTextChar"/>
    <w:uiPriority w:val="99"/>
    <w:semiHidden/>
    <w:unhideWhenUsed/>
    <w:rsid w:val="00E44280"/>
    <w:pPr>
      <w:spacing w:line="240" w:lineRule="auto"/>
    </w:pPr>
    <w:rPr>
      <w:sz w:val="20"/>
      <w:szCs w:val="20"/>
    </w:rPr>
  </w:style>
  <w:style w:type="character" w:customStyle="1" w:styleId="CommentTextChar">
    <w:name w:val="Comment Text Char"/>
    <w:basedOn w:val="DefaultParagraphFont"/>
    <w:link w:val="CommentText"/>
    <w:uiPriority w:val="99"/>
    <w:semiHidden/>
    <w:rsid w:val="00E44280"/>
    <w:rPr>
      <w:sz w:val="20"/>
      <w:szCs w:val="20"/>
    </w:rPr>
  </w:style>
  <w:style w:type="paragraph" w:styleId="CommentSubject">
    <w:name w:val="annotation subject"/>
    <w:basedOn w:val="CommentText"/>
    <w:next w:val="CommentText"/>
    <w:link w:val="CommentSubjectChar"/>
    <w:uiPriority w:val="99"/>
    <w:semiHidden/>
    <w:unhideWhenUsed/>
    <w:rsid w:val="00E44280"/>
    <w:rPr>
      <w:b/>
      <w:bCs/>
    </w:rPr>
  </w:style>
  <w:style w:type="character" w:customStyle="1" w:styleId="CommentSubjectChar">
    <w:name w:val="Comment Subject Char"/>
    <w:basedOn w:val="CommentTextChar"/>
    <w:link w:val="CommentSubject"/>
    <w:uiPriority w:val="99"/>
    <w:semiHidden/>
    <w:rsid w:val="00E44280"/>
    <w:rPr>
      <w:b/>
      <w:bCs/>
      <w:sz w:val="20"/>
      <w:szCs w:val="20"/>
    </w:rPr>
  </w:style>
  <w:style w:type="paragraph" w:customStyle="1" w:styleId="xxmsonormal">
    <w:name w:val="x_xmsonormal"/>
    <w:basedOn w:val="Normal"/>
    <w:rsid w:val="00820406"/>
    <w:pPr>
      <w:spacing w:after="0" w:line="240" w:lineRule="auto"/>
    </w:pPr>
    <w:rPr>
      <w:rFonts w:ascii="Calibri" w:hAnsi="Calibri" w:cs="Calibri"/>
    </w:rPr>
  </w:style>
  <w:style w:type="character" w:styleId="FollowedHyperlink">
    <w:name w:val="FollowedHyperlink"/>
    <w:basedOn w:val="DefaultParagraphFont"/>
    <w:uiPriority w:val="99"/>
    <w:semiHidden/>
    <w:unhideWhenUsed/>
    <w:rsid w:val="00D5346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84887">
      <w:bodyDiv w:val="1"/>
      <w:marLeft w:val="0"/>
      <w:marRight w:val="0"/>
      <w:marTop w:val="0"/>
      <w:marBottom w:val="0"/>
      <w:divBdr>
        <w:top w:val="none" w:sz="0" w:space="0" w:color="auto"/>
        <w:left w:val="none" w:sz="0" w:space="0" w:color="auto"/>
        <w:bottom w:val="none" w:sz="0" w:space="0" w:color="auto"/>
        <w:right w:val="none" w:sz="0" w:space="0" w:color="auto"/>
      </w:divBdr>
    </w:div>
    <w:div w:id="230622635">
      <w:bodyDiv w:val="1"/>
      <w:marLeft w:val="0"/>
      <w:marRight w:val="0"/>
      <w:marTop w:val="0"/>
      <w:marBottom w:val="0"/>
      <w:divBdr>
        <w:top w:val="none" w:sz="0" w:space="0" w:color="auto"/>
        <w:left w:val="none" w:sz="0" w:space="0" w:color="auto"/>
        <w:bottom w:val="none" w:sz="0" w:space="0" w:color="auto"/>
        <w:right w:val="none" w:sz="0" w:space="0" w:color="auto"/>
      </w:divBdr>
    </w:div>
    <w:div w:id="248277637">
      <w:bodyDiv w:val="1"/>
      <w:marLeft w:val="0"/>
      <w:marRight w:val="0"/>
      <w:marTop w:val="0"/>
      <w:marBottom w:val="0"/>
      <w:divBdr>
        <w:top w:val="none" w:sz="0" w:space="0" w:color="auto"/>
        <w:left w:val="none" w:sz="0" w:space="0" w:color="auto"/>
        <w:bottom w:val="none" w:sz="0" w:space="0" w:color="auto"/>
        <w:right w:val="none" w:sz="0" w:space="0" w:color="auto"/>
      </w:divBdr>
    </w:div>
    <w:div w:id="342896439">
      <w:bodyDiv w:val="1"/>
      <w:marLeft w:val="0"/>
      <w:marRight w:val="0"/>
      <w:marTop w:val="0"/>
      <w:marBottom w:val="0"/>
      <w:divBdr>
        <w:top w:val="none" w:sz="0" w:space="0" w:color="auto"/>
        <w:left w:val="none" w:sz="0" w:space="0" w:color="auto"/>
        <w:bottom w:val="none" w:sz="0" w:space="0" w:color="auto"/>
        <w:right w:val="none" w:sz="0" w:space="0" w:color="auto"/>
      </w:divBdr>
    </w:div>
    <w:div w:id="371883751">
      <w:bodyDiv w:val="1"/>
      <w:marLeft w:val="0"/>
      <w:marRight w:val="0"/>
      <w:marTop w:val="0"/>
      <w:marBottom w:val="0"/>
      <w:divBdr>
        <w:top w:val="none" w:sz="0" w:space="0" w:color="auto"/>
        <w:left w:val="none" w:sz="0" w:space="0" w:color="auto"/>
        <w:bottom w:val="none" w:sz="0" w:space="0" w:color="auto"/>
        <w:right w:val="none" w:sz="0" w:space="0" w:color="auto"/>
      </w:divBdr>
    </w:div>
    <w:div w:id="390233608">
      <w:bodyDiv w:val="1"/>
      <w:marLeft w:val="0"/>
      <w:marRight w:val="0"/>
      <w:marTop w:val="0"/>
      <w:marBottom w:val="0"/>
      <w:divBdr>
        <w:top w:val="none" w:sz="0" w:space="0" w:color="auto"/>
        <w:left w:val="none" w:sz="0" w:space="0" w:color="auto"/>
        <w:bottom w:val="none" w:sz="0" w:space="0" w:color="auto"/>
        <w:right w:val="none" w:sz="0" w:space="0" w:color="auto"/>
      </w:divBdr>
    </w:div>
    <w:div w:id="439300180">
      <w:bodyDiv w:val="1"/>
      <w:marLeft w:val="0"/>
      <w:marRight w:val="0"/>
      <w:marTop w:val="0"/>
      <w:marBottom w:val="0"/>
      <w:divBdr>
        <w:top w:val="none" w:sz="0" w:space="0" w:color="auto"/>
        <w:left w:val="none" w:sz="0" w:space="0" w:color="auto"/>
        <w:bottom w:val="none" w:sz="0" w:space="0" w:color="auto"/>
        <w:right w:val="none" w:sz="0" w:space="0" w:color="auto"/>
      </w:divBdr>
    </w:div>
    <w:div w:id="442456751">
      <w:bodyDiv w:val="1"/>
      <w:marLeft w:val="0"/>
      <w:marRight w:val="0"/>
      <w:marTop w:val="0"/>
      <w:marBottom w:val="0"/>
      <w:divBdr>
        <w:top w:val="none" w:sz="0" w:space="0" w:color="auto"/>
        <w:left w:val="none" w:sz="0" w:space="0" w:color="auto"/>
        <w:bottom w:val="none" w:sz="0" w:space="0" w:color="auto"/>
        <w:right w:val="none" w:sz="0" w:space="0" w:color="auto"/>
      </w:divBdr>
    </w:div>
    <w:div w:id="465969673">
      <w:bodyDiv w:val="1"/>
      <w:marLeft w:val="0"/>
      <w:marRight w:val="0"/>
      <w:marTop w:val="0"/>
      <w:marBottom w:val="0"/>
      <w:divBdr>
        <w:top w:val="none" w:sz="0" w:space="0" w:color="auto"/>
        <w:left w:val="none" w:sz="0" w:space="0" w:color="auto"/>
        <w:bottom w:val="none" w:sz="0" w:space="0" w:color="auto"/>
        <w:right w:val="none" w:sz="0" w:space="0" w:color="auto"/>
      </w:divBdr>
    </w:div>
    <w:div w:id="514079983">
      <w:bodyDiv w:val="1"/>
      <w:marLeft w:val="0"/>
      <w:marRight w:val="0"/>
      <w:marTop w:val="0"/>
      <w:marBottom w:val="0"/>
      <w:divBdr>
        <w:top w:val="none" w:sz="0" w:space="0" w:color="auto"/>
        <w:left w:val="none" w:sz="0" w:space="0" w:color="auto"/>
        <w:bottom w:val="none" w:sz="0" w:space="0" w:color="auto"/>
        <w:right w:val="none" w:sz="0" w:space="0" w:color="auto"/>
      </w:divBdr>
    </w:div>
    <w:div w:id="574323132">
      <w:bodyDiv w:val="1"/>
      <w:marLeft w:val="0"/>
      <w:marRight w:val="0"/>
      <w:marTop w:val="0"/>
      <w:marBottom w:val="0"/>
      <w:divBdr>
        <w:top w:val="none" w:sz="0" w:space="0" w:color="auto"/>
        <w:left w:val="none" w:sz="0" w:space="0" w:color="auto"/>
        <w:bottom w:val="none" w:sz="0" w:space="0" w:color="auto"/>
        <w:right w:val="none" w:sz="0" w:space="0" w:color="auto"/>
      </w:divBdr>
    </w:div>
    <w:div w:id="617105283">
      <w:bodyDiv w:val="1"/>
      <w:marLeft w:val="0"/>
      <w:marRight w:val="0"/>
      <w:marTop w:val="0"/>
      <w:marBottom w:val="0"/>
      <w:divBdr>
        <w:top w:val="none" w:sz="0" w:space="0" w:color="auto"/>
        <w:left w:val="none" w:sz="0" w:space="0" w:color="auto"/>
        <w:bottom w:val="none" w:sz="0" w:space="0" w:color="auto"/>
        <w:right w:val="none" w:sz="0" w:space="0" w:color="auto"/>
      </w:divBdr>
    </w:div>
    <w:div w:id="697046973">
      <w:bodyDiv w:val="1"/>
      <w:marLeft w:val="0"/>
      <w:marRight w:val="0"/>
      <w:marTop w:val="0"/>
      <w:marBottom w:val="0"/>
      <w:divBdr>
        <w:top w:val="none" w:sz="0" w:space="0" w:color="auto"/>
        <w:left w:val="none" w:sz="0" w:space="0" w:color="auto"/>
        <w:bottom w:val="none" w:sz="0" w:space="0" w:color="auto"/>
        <w:right w:val="none" w:sz="0" w:space="0" w:color="auto"/>
      </w:divBdr>
    </w:div>
    <w:div w:id="707489087">
      <w:bodyDiv w:val="1"/>
      <w:marLeft w:val="0"/>
      <w:marRight w:val="0"/>
      <w:marTop w:val="0"/>
      <w:marBottom w:val="0"/>
      <w:divBdr>
        <w:top w:val="none" w:sz="0" w:space="0" w:color="auto"/>
        <w:left w:val="none" w:sz="0" w:space="0" w:color="auto"/>
        <w:bottom w:val="none" w:sz="0" w:space="0" w:color="auto"/>
        <w:right w:val="none" w:sz="0" w:space="0" w:color="auto"/>
      </w:divBdr>
    </w:div>
    <w:div w:id="735935992">
      <w:bodyDiv w:val="1"/>
      <w:marLeft w:val="0"/>
      <w:marRight w:val="0"/>
      <w:marTop w:val="0"/>
      <w:marBottom w:val="0"/>
      <w:divBdr>
        <w:top w:val="none" w:sz="0" w:space="0" w:color="auto"/>
        <w:left w:val="none" w:sz="0" w:space="0" w:color="auto"/>
        <w:bottom w:val="none" w:sz="0" w:space="0" w:color="auto"/>
        <w:right w:val="none" w:sz="0" w:space="0" w:color="auto"/>
      </w:divBdr>
    </w:div>
    <w:div w:id="894587258">
      <w:bodyDiv w:val="1"/>
      <w:marLeft w:val="0"/>
      <w:marRight w:val="0"/>
      <w:marTop w:val="0"/>
      <w:marBottom w:val="0"/>
      <w:divBdr>
        <w:top w:val="none" w:sz="0" w:space="0" w:color="auto"/>
        <w:left w:val="none" w:sz="0" w:space="0" w:color="auto"/>
        <w:bottom w:val="none" w:sz="0" w:space="0" w:color="auto"/>
        <w:right w:val="none" w:sz="0" w:space="0" w:color="auto"/>
      </w:divBdr>
    </w:div>
    <w:div w:id="958993093">
      <w:bodyDiv w:val="1"/>
      <w:marLeft w:val="0"/>
      <w:marRight w:val="0"/>
      <w:marTop w:val="0"/>
      <w:marBottom w:val="0"/>
      <w:divBdr>
        <w:top w:val="none" w:sz="0" w:space="0" w:color="auto"/>
        <w:left w:val="none" w:sz="0" w:space="0" w:color="auto"/>
        <w:bottom w:val="none" w:sz="0" w:space="0" w:color="auto"/>
        <w:right w:val="none" w:sz="0" w:space="0" w:color="auto"/>
      </w:divBdr>
    </w:div>
    <w:div w:id="1024818379">
      <w:bodyDiv w:val="1"/>
      <w:marLeft w:val="0"/>
      <w:marRight w:val="0"/>
      <w:marTop w:val="0"/>
      <w:marBottom w:val="0"/>
      <w:divBdr>
        <w:top w:val="none" w:sz="0" w:space="0" w:color="auto"/>
        <w:left w:val="none" w:sz="0" w:space="0" w:color="auto"/>
        <w:bottom w:val="none" w:sz="0" w:space="0" w:color="auto"/>
        <w:right w:val="none" w:sz="0" w:space="0" w:color="auto"/>
      </w:divBdr>
    </w:div>
    <w:div w:id="1289311863">
      <w:bodyDiv w:val="1"/>
      <w:marLeft w:val="0"/>
      <w:marRight w:val="0"/>
      <w:marTop w:val="0"/>
      <w:marBottom w:val="0"/>
      <w:divBdr>
        <w:top w:val="none" w:sz="0" w:space="0" w:color="auto"/>
        <w:left w:val="none" w:sz="0" w:space="0" w:color="auto"/>
        <w:bottom w:val="none" w:sz="0" w:space="0" w:color="auto"/>
        <w:right w:val="none" w:sz="0" w:space="0" w:color="auto"/>
      </w:divBdr>
    </w:div>
    <w:div w:id="1298534639">
      <w:bodyDiv w:val="1"/>
      <w:marLeft w:val="0"/>
      <w:marRight w:val="0"/>
      <w:marTop w:val="0"/>
      <w:marBottom w:val="0"/>
      <w:divBdr>
        <w:top w:val="none" w:sz="0" w:space="0" w:color="auto"/>
        <w:left w:val="none" w:sz="0" w:space="0" w:color="auto"/>
        <w:bottom w:val="none" w:sz="0" w:space="0" w:color="auto"/>
        <w:right w:val="none" w:sz="0" w:space="0" w:color="auto"/>
      </w:divBdr>
    </w:div>
    <w:div w:id="1299072121">
      <w:bodyDiv w:val="1"/>
      <w:marLeft w:val="0"/>
      <w:marRight w:val="0"/>
      <w:marTop w:val="0"/>
      <w:marBottom w:val="0"/>
      <w:divBdr>
        <w:top w:val="none" w:sz="0" w:space="0" w:color="auto"/>
        <w:left w:val="none" w:sz="0" w:space="0" w:color="auto"/>
        <w:bottom w:val="none" w:sz="0" w:space="0" w:color="auto"/>
        <w:right w:val="none" w:sz="0" w:space="0" w:color="auto"/>
      </w:divBdr>
    </w:div>
    <w:div w:id="1301762613">
      <w:bodyDiv w:val="1"/>
      <w:marLeft w:val="0"/>
      <w:marRight w:val="0"/>
      <w:marTop w:val="0"/>
      <w:marBottom w:val="0"/>
      <w:divBdr>
        <w:top w:val="none" w:sz="0" w:space="0" w:color="auto"/>
        <w:left w:val="none" w:sz="0" w:space="0" w:color="auto"/>
        <w:bottom w:val="none" w:sz="0" w:space="0" w:color="auto"/>
        <w:right w:val="none" w:sz="0" w:space="0" w:color="auto"/>
      </w:divBdr>
    </w:div>
    <w:div w:id="1352145990">
      <w:bodyDiv w:val="1"/>
      <w:marLeft w:val="0"/>
      <w:marRight w:val="0"/>
      <w:marTop w:val="0"/>
      <w:marBottom w:val="0"/>
      <w:divBdr>
        <w:top w:val="none" w:sz="0" w:space="0" w:color="auto"/>
        <w:left w:val="none" w:sz="0" w:space="0" w:color="auto"/>
        <w:bottom w:val="none" w:sz="0" w:space="0" w:color="auto"/>
        <w:right w:val="none" w:sz="0" w:space="0" w:color="auto"/>
      </w:divBdr>
    </w:div>
    <w:div w:id="1353453974">
      <w:bodyDiv w:val="1"/>
      <w:marLeft w:val="0"/>
      <w:marRight w:val="0"/>
      <w:marTop w:val="0"/>
      <w:marBottom w:val="0"/>
      <w:divBdr>
        <w:top w:val="none" w:sz="0" w:space="0" w:color="auto"/>
        <w:left w:val="none" w:sz="0" w:space="0" w:color="auto"/>
        <w:bottom w:val="none" w:sz="0" w:space="0" w:color="auto"/>
        <w:right w:val="none" w:sz="0" w:space="0" w:color="auto"/>
      </w:divBdr>
    </w:div>
    <w:div w:id="1429692051">
      <w:bodyDiv w:val="1"/>
      <w:marLeft w:val="0"/>
      <w:marRight w:val="0"/>
      <w:marTop w:val="0"/>
      <w:marBottom w:val="0"/>
      <w:divBdr>
        <w:top w:val="none" w:sz="0" w:space="0" w:color="auto"/>
        <w:left w:val="none" w:sz="0" w:space="0" w:color="auto"/>
        <w:bottom w:val="none" w:sz="0" w:space="0" w:color="auto"/>
        <w:right w:val="none" w:sz="0" w:space="0" w:color="auto"/>
      </w:divBdr>
    </w:div>
    <w:div w:id="1534153243">
      <w:bodyDiv w:val="1"/>
      <w:marLeft w:val="0"/>
      <w:marRight w:val="0"/>
      <w:marTop w:val="0"/>
      <w:marBottom w:val="0"/>
      <w:divBdr>
        <w:top w:val="none" w:sz="0" w:space="0" w:color="auto"/>
        <w:left w:val="none" w:sz="0" w:space="0" w:color="auto"/>
        <w:bottom w:val="none" w:sz="0" w:space="0" w:color="auto"/>
        <w:right w:val="none" w:sz="0" w:space="0" w:color="auto"/>
      </w:divBdr>
    </w:div>
    <w:div w:id="1549805337">
      <w:bodyDiv w:val="1"/>
      <w:marLeft w:val="0"/>
      <w:marRight w:val="0"/>
      <w:marTop w:val="0"/>
      <w:marBottom w:val="0"/>
      <w:divBdr>
        <w:top w:val="none" w:sz="0" w:space="0" w:color="auto"/>
        <w:left w:val="none" w:sz="0" w:space="0" w:color="auto"/>
        <w:bottom w:val="none" w:sz="0" w:space="0" w:color="auto"/>
        <w:right w:val="none" w:sz="0" w:space="0" w:color="auto"/>
      </w:divBdr>
    </w:div>
    <w:div w:id="1643271114">
      <w:bodyDiv w:val="1"/>
      <w:marLeft w:val="0"/>
      <w:marRight w:val="0"/>
      <w:marTop w:val="0"/>
      <w:marBottom w:val="0"/>
      <w:divBdr>
        <w:top w:val="none" w:sz="0" w:space="0" w:color="auto"/>
        <w:left w:val="none" w:sz="0" w:space="0" w:color="auto"/>
        <w:bottom w:val="none" w:sz="0" w:space="0" w:color="auto"/>
        <w:right w:val="none" w:sz="0" w:space="0" w:color="auto"/>
      </w:divBdr>
    </w:div>
    <w:div w:id="1802843686">
      <w:bodyDiv w:val="1"/>
      <w:marLeft w:val="0"/>
      <w:marRight w:val="0"/>
      <w:marTop w:val="0"/>
      <w:marBottom w:val="0"/>
      <w:divBdr>
        <w:top w:val="none" w:sz="0" w:space="0" w:color="auto"/>
        <w:left w:val="none" w:sz="0" w:space="0" w:color="auto"/>
        <w:bottom w:val="none" w:sz="0" w:space="0" w:color="auto"/>
        <w:right w:val="none" w:sz="0" w:space="0" w:color="auto"/>
      </w:divBdr>
    </w:div>
    <w:div w:id="1855418387">
      <w:bodyDiv w:val="1"/>
      <w:marLeft w:val="0"/>
      <w:marRight w:val="0"/>
      <w:marTop w:val="0"/>
      <w:marBottom w:val="0"/>
      <w:divBdr>
        <w:top w:val="none" w:sz="0" w:space="0" w:color="auto"/>
        <w:left w:val="none" w:sz="0" w:space="0" w:color="auto"/>
        <w:bottom w:val="none" w:sz="0" w:space="0" w:color="auto"/>
        <w:right w:val="none" w:sz="0" w:space="0" w:color="auto"/>
      </w:divBdr>
    </w:div>
    <w:div w:id="1907373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ccas.osu.edu/new-general-education-gen-goals-and-elo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library.osu.edu/sites/default/files/2022-03/osu-general-schedule-20220322-compressed3.pdf" TargetMode="External"/><Relationship Id="rId12" Type="http://schemas.openxmlformats.org/officeDocument/2006/relationships/hyperlink" Target="http://library.osu.edu/sites/default/files/2022-03/osu-general-schedule-20220322-compressed3.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brary.osu.edu/osu-records-management/retention-schedules" TargetMode="External"/><Relationship Id="rId11" Type="http://schemas.openxmlformats.org/officeDocument/2006/relationships/hyperlink" Target="https://library.osu.edu/osu-records-management/retention-schedules" TargetMode="External"/><Relationship Id="rId5" Type="http://schemas.openxmlformats.org/officeDocument/2006/relationships/hyperlink" Target="https://trustees.osu.edu/bylaws-and-rules/3335-8" TargetMode="External"/><Relationship Id="rId10" Type="http://schemas.openxmlformats.org/officeDocument/2006/relationships/hyperlink" Target="https://trustees.osu.edu/bylaws-and-rules/3335-8" TargetMode="External"/><Relationship Id="rId4" Type="http://schemas.openxmlformats.org/officeDocument/2006/relationships/webSettings" Target="webSettings.xml"/><Relationship Id="rId9" Type="http://schemas.openxmlformats.org/officeDocument/2006/relationships/hyperlink" Target="https://math.osu.edu/courses/math-114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1879</Words>
  <Characters>10711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Hilty, Michael</dc:creator>
  <cp:keywords/>
  <dc:description/>
  <cp:lastModifiedBy>Hilty, Michael</cp:lastModifiedBy>
  <cp:revision>2</cp:revision>
  <cp:lastPrinted>2023-05-11T02:37:00Z</cp:lastPrinted>
  <dcterms:created xsi:type="dcterms:W3CDTF">2023-09-06T18:45:00Z</dcterms:created>
  <dcterms:modified xsi:type="dcterms:W3CDTF">2023-09-06T18:45:00Z</dcterms:modified>
</cp:coreProperties>
</file>